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37A2" w14:textId="77777777" w:rsidR="001A24BD" w:rsidRDefault="001A24BD" w:rsidP="008E7545">
      <w:pPr>
        <w:pStyle w:val="berschrift1"/>
        <w:numPr>
          <w:ilvl w:val="0"/>
          <w:numId w:val="0"/>
        </w:numPr>
        <w:ind w:left="1418" w:hanging="1418"/>
        <w:rPr>
          <w:noProof/>
          <w:szCs w:val="28"/>
        </w:rPr>
      </w:pPr>
      <w:bookmarkStart w:id="0" w:name="_Toc2861866"/>
      <w:bookmarkStart w:id="1" w:name="_Toc310849022"/>
      <w:r>
        <w:rPr>
          <w:noProof/>
          <w:szCs w:val="28"/>
        </w:rPr>
        <w:t>Teil B</w:t>
      </w:r>
      <w:r>
        <w:rPr>
          <w:noProof/>
          <w:szCs w:val="28"/>
        </w:rPr>
        <w:tab/>
        <w:t>Besondere Anforderungen an die Fremprüfung der Systemkomponenten</w:t>
      </w:r>
      <w:bookmarkEnd w:id="0"/>
    </w:p>
    <w:p w14:paraId="667337A3" w14:textId="77777777" w:rsidR="00FB7D92" w:rsidRDefault="00395E0C" w:rsidP="00395E0C">
      <w:pPr>
        <w:pStyle w:val="berschrift1"/>
        <w:numPr>
          <w:ilvl w:val="0"/>
          <w:numId w:val="0"/>
        </w:numPr>
        <w:rPr>
          <w:noProof/>
          <w:szCs w:val="28"/>
        </w:rPr>
      </w:pPr>
      <w:bookmarkStart w:id="2" w:name="_Toc2861867"/>
      <w:r>
        <w:rPr>
          <w:noProof/>
          <w:szCs w:val="28"/>
        </w:rPr>
        <w:t>B2</w:t>
      </w:r>
      <w:r>
        <w:rPr>
          <w:noProof/>
          <w:szCs w:val="28"/>
        </w:rPr>
        <w:tab/>
      </w:r>
      <w:r>
        <w:rPr>
          <w:noProof/>
          <w:szCs w:val="28"/>
        </w:rPr>
        <w:tab/>
      </w:r>
      <w:r w:rsidR="00FB7D92" w:rsidRPr="001A24BD">
        <w:rPr>
          <w:noProof/>
          <w:szCs w:val="28"/>
        </w:rPr>
        <w:t>Oberflächenabdichtung</w:t>
      </w:r>
      <w:bookmarkEnd w:id="1"/>
      <w:bookmarkEnd w:id="2"/>
    </w:p>
    <w:p w14:paraId="667337A4" w14:textId="77777777" w:rsidR="00252FB2" w:rsidRPr="00252FB2" w:rsidRDefault="00252FB2" w:rsidP="00252FB2">
      <w:pPr>
        <w:pStyle w:val="Textabsatz"/>
      </w:pPr>
    </w:p>
    <w:p w14:paraId="667337A5" w14:textId="77777777" w:rsidR="00FB7D92" w:rsidRDefault="00252FB2" w:rsidP="00925A6D">
      <w:pPr>
        <w:pStyle w:val="berschrift1"/>
      </w:pPr>
      <w:r>
        <w:t>Geosynthetische Tondichtungsbahn (GTD)</w:t>
      </w:r>
    </w:p>
    <w:p w14:paraId="667337A6" w14:textId="77777777" w:rsidR="0068452A" w:rsidRDefault="00715CE1" w:rsidP="00715CE1">
      <w:pPr>
        <w:pStyle w:val="berschrift2"/>
      </w:pPr>
      <w:r>
        <w:t>Allgemeines GTD</w:t>
      </w:r>
    </w:p>
    <w:p w14:paraId="667337A7" w14:textId="77777777" w:rsidR="00715CE1" w:rsidRPr="00C55491" w:rsidRDefault="00715CE1" w:rsidP="00C55491">
      <w:pPr>
        <w:pStyle w:val="Textabsatz"/>
      </w:pPr>
      <w:r w:rsidRPr="00C55491">
        <w:t xml:space="preserve">Die geosynthetischen Tondichtungsbahnen (GTD) </w:t>
      </w:r>
      <w:r w:rsidR="00D35EE6">
        <w:t>bilden</w:t>
      </w:r>
      <w:r w:rsidR="00C55491">
        <w:t xml:space="preserve"> die</w:t>
      </w:r>
      <w:r w:rsidRPr="00C55491">
        <w:t xml:space="preserve"> </w:t>
      </w:r>
      <w:r w:rsidR="00C55491">
        <w:t>erste Abdichtungskomponente</w:t>
      </w:r>
      <w:r w:rsidR="00D35EE6">
        <w:t xml:space="preserve"> (mineralische Abdichtung) </w:t>
      </w:r>
      <w:r w:rsidR="00C55491">
        <w:t>g</w:t>
      </w:r>
      <w:r w:rsidR="00D35EE6">
        <w:t>e</w:t>
      </w:r>
      <w:r w:rsidR="00C55491">
        <w:t>mäß DepV, Kap. 2.3, Tabelle 2. Sie werden einlagig auf einer</w:t>
      </w:r>
      <w:r w:rsidRPr="00C55491">
        <w:t xml:space="preserve"> feinkörnigen </w:t>
      </w:r>
      <w:r w:rsidR="00C55491">
        <w:t xml:space="preserve">Trag- und </w:t>
      </w:r>
      <w:r w:rsidRPr="00C55491">
        <w:t>Ausgleichs</w:t>
      </w:r>
      <w:r w:rsidR="00C55491">
        <w:t xml:space="preserve">schicht verlegt. </w:t>
      </w:r>
      <w:r w:rsidR="00D35EE6">
        <w:t xml:space="preserve">In der Kombinationsabdichtung werden die GTD anschließend </w:t>
      </w:r>
      <w:r w:rsidRPr="00C55491">
        <w:t>mit der Kunststoffdichtungs</w:t>
      </w:r>
      <w:r w:rsidR="00D35EE6">
        <w:t>bahn überbaut.</w:t>
      </w:r>
    </w:p>
    <w:p w14:paraId="667337A8" w14:textId="77777777" w:rsidR="00F532A4" w:rsidRDefault="00715CE1" w:rsidP="00BE48BB">
      <w:pPr>
        <w:pStyle w:val="Textabsatz"/>
      </w:pPr>
      <w:r w:rsidRPr="00C55491">
        <w:t xml:space="preserve">Die Tondichtungsbahn muss den Anforderungen der </w:t>
      </w:r>
      <w:r w:rsidR="00BE48BB" w:rsidRPr="00BE48BB">
        <w:t xml:space="preserve">LAGA Ad-hoc-AG „Deponietechnik“ </w:t>
      </w:r>
      <w:r w:rsidRPr="00C55491">
        <w:t>„</w:t>
      </w:r>
      <w:r w:rsidR="00BE48BB">
        <w:t>Bundeseinheitlicher Qualitätsstandard 5-5 Oberflächenabdichtungskomponenten aus geosynthetischen Tondichtungsbahnen</w:t>
      </w:r>
      <w:r w:rsidRPr="00C55491">
        <w:t>“ entsprechen</w:t>
      </w:r>
      <w:r w:rsidR="00D35EE6">
        <w:t>.</w:t>
      </w:r>
    </w:p>
    <w:p w14:paraId="667337A9" w14:textId="77777777" w:rsidR="00D35EE6" w:rsidRPr="00C55491" w:rsidRDefault="00D35EE6" w:rsidP="00C55491">
      <w:pPr>
        <w:pStyle w:val="Textabsatz"/>
      </w:pPr>
    </w:p>
    <w:p w14:paraId="667337AA" w14:textId="77777777" w:rsidR="00FE1AD2" w:rsidRDefault="00BE48BB" w:rsidP="00925A6D">
      <w:pPr>
        <w:pStyle w:val="berschrift2"/>
      </w:pPr>
      <w:bookmarkStart w:id="3" w:name="_Toc2861887"/>
      <w:r>
        <w:t>Probe</w:t>
      </w:r>
      <w:r w:rsidR="006A557A">
        <w:t>feld</w:t>
      </w:r>
      <w:bookmarkEnd w:id="3"/>
    </w:p>
    <w:p w14:paraId="667337AB" w14:textId="77777777" w:rsidR="00FE1AD2" w:rsidRDefault="00C55095" w:rsidP="00C55095">
      <w:pPr>
        <w:pStyle w:val="Textabsatz"/>
      </w:pPr>
      <w:r w:rsidRPr="00C55095">
        <w:t xml:space="preserve">Vor Baubeginn ist im Beisein des Fremdprüfers ein </w:t>
      </w:r>
      <w:r w:rsidR="00BE48BB">
        <w:t>Probefeld</w:t>
      </w:r>
      <w:r>
        <w:t xml:space="preserve"> zum Bau der GTD </w:t>
      </w:r>
      <w:r w:rsidRPr="00C55095">
        <w:t xml:space="preserve">anzulegen. </w:t>
      </w:r>
      <w:r>
        <w:t xml:space="preserve">Zum Bau des </w:t>
      </w:r>
      <w:r w:rsidR="00BE48BB">
        <w:t>Probefelde</w:t>
      </w:r>
      <w:r>
        <w:t xml:space="preserve">s ist im Vorfeld </w:t>
      </w:r>
      <w:r w:rsidR="000F114E">
        <w:t>ein</w:t>
      </w:r>
      <w:r>
        <w:t xml:space="preserve"> Verlegekonzept GTD zu erstellen. </w:t>
      </w:r>
      <w:r w:rsidRPr="00C55095">
        <w:t>Auf der Grundlage der E</w:t>
      </w:r>
      <w:r>
        <w:t xml:space="preserve">rgebnisse aus dem Probefeld ist </w:t>
      </w:r>
      <w:r w:rsidRPr="00C55095">
        <w:t xml:space="preserve">von der bauausführenden Firma ein Einbaukonzept </w:t>
      </w:r>
      <w:r>
        <w:t xml:space="preserve">für das gesamte Dichtungssystem </w:t>
      </w:r>
      <w:r w:rsidRPr="00C55095">
        <w:t>aufzustellen und dem Fremdprüfer vorzulegen. Der Fremdprü</w:t>
      </w:r>
      <w:r>
        <w:t xml:space="preserve">fer beurteilt das Einbaukonzept </w:t>
      </w:r>
      <w:r w:rsidRPr="00C55095">
        <w:t>und legt es der zuständigen Behörde zur Freigabe vor.</w:t>
      </w:r>
    </w:p>
    <w:p w14:paraId="667337AC" w14:textId="77777777" w:rsidR="00C55095" w:rsidRDefault="00C55095" w:rsidP="00C55095">
      <w:pPr>
        <w:pStyle w:val="Textabsatz"/>
      </w:pPr>
      <w:r>
        <w:t xml:space="preserve">Im </w:t>
      </w:r>
      <w:r w:rsidR="00BE48BB">
        <w:t>Probefeld</w:t>
      </w:r>
      <w:r>
        <w:t xml:space="preserve"> ist der Einbau der GTD mit den geplanten Baugeräten gemäß den nachfolgenden Kapiteln nachzuweisen. Es müssen mindestens </w:t>
      </w:r>
      <w:r w:rsidR="000F114E">
        <w:t>2</w:t>
      </w:r>
      <w:r>
        <w:t xml:space="preserve"> Bahnen GTD verlegt werden. Laborprüfungen werden für das </w:t>
      </w:r>
      <w:r w:rsidR="00BE48BB">
        <w:t>Probefeld</w:t>
      </w:r>
      <w:r>
        <w:t xml:space="preserve"> GTD nicht erforderlich.</w:t>
      </w:r>
      <w:r w:rsidR="00DB0F8B">
        <w:t xml:space="preserve"> </w:t>
      </w:r>
      <w:r w:rsidR="000F114E">
        <w:t xml:space="preserve">Vor dem Bau des </w:t>
      </w:r>
      <w:r w:rsidR="00BE48BB">
        <w:t>Probefeld</w:t>
      </w:r>
      <w:r w:rsidR="000F114E">
        <w:t>s sind die Eignungsnachweise vorzulegen und durch die FP freizugeben.</w:t>
      </w:r>
    </w:p>
    <w:p w14:paraId="667337AD" w14:textId="77777777" w:rsidR="000F114E" w:rsidRDefault="000F114E" w:rsidP="00C55095">
      <w:pPr>
        <w:pStyle w:val="Textabsatz"/>
      </w:pPr>
    </w:p>
    <w:p w14:paraId="667337AE" w14:textId="77777777" w:rsidR="000F114E" w:rsidRDefault="000F114E" w:rsidP="000F114E">
      <w:pPr>
        <w:pStyle w:val="berschrift2"/>
      </w:pPr>
      <w:r>
        <w:t>Eignungsnachweise</w:t>
      </w:r>
    </w:p>
    <w:p w14:paraId="667337AF" w14:textId="77777777" w:rsidR="00DB0F8B" w:rsidRPr="002B6463" w:rsidRDefault="0053785F" w:rsidP="002B6463">
      <w:pPr>
        <w:pStyle w:val="Textabsatz"/>
      </w:pPr>
      <w:r w:rsidRPr="002B6463">
        <w:t xml:space="preserve">Für die zum Einbau vorgesehenen geosynthetischen Tondichtungsbahnen </w:t>
      </w:r>
      <w:r w:rsidR="002B6463" w:rsidRPr="002B6463">
        <w:t>sind die Eignungsnachweise gemäß der nachfolgenden Tabelle vorzulegen</w:t>
      </w:r>
      <w:r w:rsidRPr="002B6463">
        <w:t>. Die Eig</w:t>
      </w:r>
      <w:r w:rsidR="002B6463" w:rsidRPr="002B6463">
        <w:t>nungsnachweise</w:t>
      </w:r>
      <w:r w:rsidRPr="002B6463">
        <w:t xml:space="preserve"> </w:t>
      </w:r>
      <w:r w:rsidR="002B6463" w:rsidRPr="002B6463">
        <w:t>mü</w:t>
      </w:r>
      <w:r w:rsidRPr="002B6463">
        <w:t>ss</w:t>
      </w:r>
      <w:r w:rsidR="002B6463" w:rsidRPr="002B6463">
        <w:t>en</w:t>
      </w:r>
      <w:r w:rsidRPr="002B6463">
        <w:t xml:space="preserve"> einschließlich aller Anlagen ab Baubeginn auf der Baustelle vorliegen.</w:t>
      </w:r>
    </w:p>
    <w:p w14:paraId="667337B0" w14:textId="77777777" w:rsidR="00BE48BB" w:rsidRDefault="00BE48BB">
      <w:pPr>
        <w:spacing w:before="0" w:line="240" w:lineRule="auto"/>
        <w:jc w:val="left"/>
        <w:rPr>
          <w:rFonts w:cs="Times New Roman"/>
          <w:b/>
          <w:szCs w:val="20"/>
          <w:lang w:eastAsia="ar-SA"/>
        </w:rPr>
      </w:pPr>
      <w:r>
        <w:br w:type="page"/>
      </w:r>
    </w:p>
    <w:p w14:paraId="667337B1" w14:textId="77777777" w:rsidR="0053785F" w:rsidRDefault="0053785F" w:rsidP="0053785F">
      <w:pPr>
        <w:pStyle w:val="Beschriftung1"/>
        <w:tabs>
          <w:tab w:val="left" w:pos="1418"/>
        </w:tabs>
        <w:spacing w:before="0"/>
        <w:rPr>
          <w:sz w:val="22"/>
        </w:rPr>
      </w:pPr>
    </w:p>
    <w:p w14:paraId="667337B2" w14:textId="77777777" w:rsidR="0053785F" w:rsidRPr="00BE48BB" w:rsidRDefault="0053785F" w:rsidP="00BE48BB">
      <w:pPr>
        <w:pStyle w:val="Beschriftung1"/>
        <w:tabs>
          <w:tab w:val="left" w:pos="1418"/>
        </w:tabs>
        <w:spacing w:before="0"/>
        <w:rPr>
          <w:sz w:val="22"/>
        </w:rPr>
      </w:pPr>
      <w:r>
        <w:rPr>
          <w:sz w:val="22"/>
        </w:rPr>
        <w:t xml:space="preserve">Tabelle X: </w:t>
      </w:r>
      <w:r w:rsidRPr="00DC0747">
        <w:rPr>
          <w:sz w:val="22"/>
        </w:rPr>
        <w:t>Aufstellung der zu erbringenden Nachweise und Unterlagen der GTD</w:t>
      </w:r>
    </w:p>
    <w:tbl>
      <w:tblPr>
        <w:tblW w:w="9382" w:type="dxa"/>
        <w:tblInd w:w="71" w:type="dxa"/>
        <w:tblLayout w:type="fixed"/>
        <w:tblCellMar>
          <w:left w:w="71" w:type="dxa"/>
          <w:right w:w="71" w:type="dxa"/>
        </w:tblCellMar>
        <w:tblLook w:val="0000" w:firstRow="0" w:lastRow="0" w:firstColumn="0" w:lastColumn="0" w:noHBand="0" w:noVBand="0"/>
      </w:tblPr>
      <w:tblGrid>
        <w:gridCol w:w="709"/>
        <w:gridCol w:w="6637"/>
        <w:gridCol w:w="2036"/>
      </w:tblGrid>
      <w:tr w:rsidR="0053785F" w:rsidRPr="00A50357" w14:paraId="667337B5" w14:textId="77777777" w:rsidTr="00BE48BB">
        <w:trPr>
          <w:tblHeader/>
        </w:trPr>
        <w:tc>
          <w:tcPr>
            <w:tcW w:w="7346" w:type="dxa"/>
            <w:gridSpan w:val="2"/>
            <w:tcBorders>
              <w:top w:val="double" w:sz="2" w:space="0" w:color="000000"/>
              <w:left w:val="double" w:sz="2" w:space="0" w:color="000000"/>
              <w:bottom w:val="double" w:sz="1" w:space="0" w:color="000000"/>
            </w:tcBorders>
          </w:tcPr>
          <w:p w14:paraId="667337B3" w14:textId="77777777" w:rsidR="0053785F" w:rsidRPr="00A50357" w:rsidRDefault="0053785F" w:rsidP="00183D60">
            <w:pPr>
              <w:tabs>
                <w:tab w:val="left" w:pos="6804"/>
              </w:tabs>
              <w:snapToGrid w:val="0"/>
              <w:spacing w:before="40" w:after="40"/>
              <w:rPr>
                <w:b/>
              </w:rPr>
            </w:pPr>
            <w:r w:rsidRPr="00A50357">
              <w:rPr>
                <w:b/>
              </w:rPr>
              <w:t>Geosynthetische Tondichtungsbahn (GTD)</w:t>
            </w:r>
          </w:p>
        </w:tc>
        <w:tc>
          <w:tcPr>
            <w:tcW w:w="2036" w:type="dxa"/>
            <w:tcBorders>
              <w:top w:val="double" w:sz="2" w:space="0" w:color="000000"/>
              <w:left w:val="single" w:sz="4" w:space="0" w:color="000000"/>
              <w:bottom w:val="double" w:sz="1" w:space="0" w:color="000000"/>
              <w:right w:val="double" w:sz="2" w:space="0" w:color="000000"/>
            </w:tcBorders>
          </w:tcPr>
          <w:p w14:paraId="667337B4" w14:textId="77777777" w:rsidR="0053785F" w:rsidRPr="00A50357" w:rsidRDefault="0053785F" w:rsidP="00183D60">
            <w:pPr>
              <w:tabs>
                <w:tab w:val="left" w:pos="6804"/>
              </w:tabs>
              <w:snapToGrid w:val="0"/>
              <w:spacing w:before="40" w:after="40"/>
              <w:rPr>
                <w:sz w:val="20"/>
              </w:rPr>
            </w:pPr>
            <w:r w:rsidRPr="00A50357">
              <w:rPr>
                <w:sz w:val="20"/>
              </w:rPr>
              <w:t>vorzulegen bis</w:t>
            </w:r>
          </w:p>
        </w:tc>
      </w:tr>
      <w:tr w:rsidR="0053785F" w:rsidRPr="00A50357" w14:paraId="667337B9" w14:textId="77777777" w:rsidTr="00BE48BB">
        <w:tc>
          <w:tcPr>
            <w:tcW w:w="709" w:type="dxa"/>
            <w:tcBorders>
              <w:left w:val="double" w:sz="2" w:space="0" w:color="000000"/>
              <w:bottom w:val="single" w:sz="4" w:space="0" w:color="000000"/>
            </w:tcBorders>
          </w:tcPr>
          <w:p w14:paraId="667337B6" w14:textId="77777777" w:rsidR="0053785F" w:rsidRPr="00FE072D" w:rsidRDefault="0053785F" w:rsidP="00183D60">
            <w:pPr>
              <w:tabs>
                <w:tab w:val="left" w:pos="6804"/>
              </w:tabs>
              <w:snapToGrid w:val="0"/>
              <w:spacing w:before="40" w:after="40"/>
              <w:rPr>
                <w:sz w:val="20"/>
                <w:szCs w:val="20"/>
              </w:rPr>
            </w:pPr>
            <w:r w:rsidRPr="00FE072D">
              <w:rPr>
                <w:sz w:val="20"/>
                <w:szCs w:val="20"/>
              </w:rPr>
              <w:t>0</w:t>
            </w:r>
          </w:p>
        </w:tc>
        <w:tc>
          <w:tcPr>
            <w:tcW w:w="6637" w:type="dxa"/>
            <w:tcBorders>
              <w:left w:val="single" w:sz="4" w:space="0" w:color="000000"/>
              <w:bottom w:val="single" w:sz="4" w:space="0" w:color="000000"/>
            </w:tcBorders>
          </w:tcPr>
          <w:p w14:paraId="667337B7" w14:textId="77777777" w:rsidR="0053785F" w:rsidRPr="00FE072D" w:rsidRDefault="0053785F" w:rsidP="00183D60">
            <w:pPr>
              <w:tabs>
                <w:tab w:val="left" w:pos="1631"/>
                <w:tab w:val="left" w:pos="6804"/>
              </w:tabs>
              <w:snapToGrid w:val="0"/>
              <w:spacing w:after="40"/>
              <w:jc w:val="left"/>
              <w:rPr>
                <w:b/>
                <w:sz w:val="20"/>
                <w:szCs w:val="20"/>
              </w:rPr>
            </w:pPr>
            <w:r w:rsidRPr="00FE072D">
              <w:rPr>
                <w:b/>
                <w:sz w:val="20"/>
                <w:szCs w:val="20"/>
              </w:rPr>
              <w:t>Hersteller:</w:t>
            </w:r>
            <w:r w:rsidRPr="00FE072D">
              <w:rPr>
                <w:b/>
                <w:sz w:val="20"/>
                <w:szCs w:val="20"/>
              </w:rPr>
              <w:tab/>
            </w:r>
            <w:r w:rsidRPr="00FE072D">
              <w:rPr>
                <w:sz w:val="20"/>
                <w:szCs w:val="20"/>
              </w:rPr>
              <w:br/>
            </w:r>
            <w:r w:rsidRPr="00FE072D">
              <w:rPr>
                <w:b/>
                <w:sz w:val="20"/>
                <w:szCs w:val="20"/>
              </w:rPr>
              <w:t xml:space="preserve">Bezeichnung: </w:t>
            </w:r>
            <w:r w:rsidRPr="00FE072D">
              <w:rPr>
                <w:b/>
                <w:sz w:val="20"/>
                <w:szCs w:val="20"/>
              </w:rPr>
              <w:tab/>
            </w:r>
          </w:p>
        </w:tc>
        <w:tc>
          <w:tcPr>
            <w:tcW w:w="2036" w:type="dxa"/>
            <w:tcBorders>
              <w:left w:val="single" w:sz="4" w:space="0" w:color="000000"/>
              <w:bottom w:val="single" w:sz="4" w:space="0" w:color="000000"/>
              <w:right w:val="double" w:sz="2" w:space="0" w:color="000000"/>
            </w:tcBorders>
          </w:tcPr>
          <w:p w14:paraId="667337B8" w14:textId="77777777" w:rsidR="0053785F" w:rsidRPr="00FE072D" w:rsidRDefault="0053785F" w:rsidP="00183D60">
            <w:pPr>
              <w:tabs>
                <w:tab w:val="left" w:pos="6804"/>
              </w:tabs>
              <w:snapToGrid w:val="0"/>
              <w:spacing w:after="40"/>
              <w:rPr>
                <w:sz w:val="20"/>
                <w:szCs w:val="20"/>
              </w:rPr>
            </w:pPr>
          </w:p>
        </w:tc>
      </w:tr>
      <w:tr w:rsidR="0053785F" w:rsidRPr="00A50357" w14:paraId="667337BD" w14:textId="77777777" w:rsidTr="00BE48BB">
        <w:tc>
          <w:tcPr>
            <w:tcW w:w="709" w:type="dxa"/>
            <w:tcBorders>
              <w:left w:val="double" w:sz="2" w:space="0" w:color="000000"/>
              <w:bottom w:val="single" w:sz="4" w:space="0" w:color="000000"/>
            </w:tcBorders>
          </w:tcPr>
          <w:p w14:paraId="667337BA" w14:textId="77777777" w:rsidR="0053785F" w:rsidRPr="00FE072D" w:rsidRDefault="0053785F" w:rsidP="00183D60">
            <w:pPr>
              <w:tabs>
                <w:tab w:val="left" w:pos="6804"/>
              </w:tabs>
              <w:snapToGrid w:val="0"/>
              <w:spacing w:before="40" w:after="40"/>
              <w:rPr>
                <w:sz w:val="20"/>
                <w:szCs w:val="20"/>
              </w:rPr>
            </w:pPr>
            <w:r w:rsidRPr="00FE072D">
              <w:rPr>
                <w:sz w:val="20"/>
                <w:szCs w:val="20"/>
              </w:rPr>
              <w:t>1</w:t>
            </w:r>
          </w:p>
        </w:tc>
        <w:tc>
          <w:tcPr>
            <w:tcW w:w="6637" w:type="dxa"/>
            <w:tcBorders>
              <w:left w:val="single" w:sz="4" w:space="0" w:color="000000"/>
              <w:bottom w:val="single" w:sz="4" w:space="0" w:color="000000"/>
            </w:tcBorders>
          </w:tcPr>
          <w:p w14:paraId="667337BB" w14:textId="77777777" w:rsidR="0053785F" w:rsidRPr="00FE072D" w:rsidRDefault="002B6463" w:rsidP="00183D60">
            <w:pPr>
              <w:tabs>
                <w:tab w:val="left" w:pos="6804"/>
              </w:tabs>
              <w:snapToGrid w:val="0"/>
              <w:spacing w:before="40" w:after="40"/>
              <w:jc w:val="left"/>
              <w:rPr>
                <w:sz w:val="20"/>
                <w:szCs w:val="20"/>
              </w:rPr>
            </w:pPr>
            <w:r w:rsidRPr="00FE072D">
              <w:rPr>
                <w:sz w:val="20"/>
                <w:szCs w:val="20"/>
              </w:rPr>
              <w:t>Einungsbeurteilung der LAGA Ad-hoc AG entsprechend dem BQS 5-5</w:t>
            </w:r>
          </w:p>
        </w:tc>
        <w:tc>
          <w:tcPr>
            <w:tcW w:w="2036" w:type="dxa"/>
            <w:tcBorders>
              <w:left w:val="single" w:sz="4" w:space="0" w:color="000000"/>
              <w:bottom w:val="single" w:sz="4" w:space="0" w:color="000000"/>
              <w:right w:val="double" w:sz="2" w:space="0" w:color="000000"/>
            </w:tcBorders>
          </w:tcPr>
          <w:p w14:paraId="667337BC" w14:textId="77777777" w:rsidR="0053785F" w:rsidRPr="00FE072D" w:rsidRDefault="0053785F" w:rsidP="00183D60">
            <w:pPr>
              <w:tabs>
                <w:tab w:val="left" w:pos="6804"/>
              </w:tabs>
              <w:snapToGrid w:val="0"/>
              <w:spacing w:before="40" w:after="40"/>
              <w:rPr>
                <w:sz w:val="20"/>
                <w:szCs w:val="20"/>
              </w:rPr>
            </w:pPr>
            <w:r w:rsidRPr="00FE072D">
              <w:rPr>
                <w:sz w:val="20"/>
                <w:szCs w:val="20"/>
              </w:rPr>
              <w:t>2 Wochen vor Baubeginn</w:t>
            </w:r>
          </w:p>
        </w:tc>
      </w:tr>
      <w:tr w:rsidR="0053785F" w:rsidRPr="00A50357" w14:paraId="667337C1" w14:textId="77777777" w:rsidTr="00BE48BB">
        <w:tc>
          <w:tcPr>
            <w:tcW w:w="709" w:type="dxa"/>
            <w:tcBorders>
              <w:left w:val="double" w:sz="2" w:space="0" w:color="000000"/>
            </w:tcBorders>
          </w:tcPr>
          <w:p w14:paraId="667337BE" w14:textId="77777777" w:rsidR="0053785F" w:rsidRPr="00FE072D" w:rsidRDefault="0053785F" w:rsidP="00183D60">
            <w:pPr>
              <w:tabs>
                <w:tab w:val="left" w:pos="6804"/>
              </w:tabs>
              <w:snapToGrid w:val="0"/>
              <w:spacing w:before="40" w:after="40"/>
              <w:rPr>
                <w:sz w:val="20"/>
                <w:szCs w:val="20"/>
              </w:rPr>
            </w:pPr>
            <w:r w:rsidRPr="00FE072D">
              <w:rPr>
                <w:sz w:val="20"/>
                <w:szCs w:val="20"/>
              </w:rPr>
              <w:t>2</w:t>
            </w:r>
          </w:p>
        </w:tc>
        <w:tc>
          <w:tcPr>
            <w:tcW w:w="6637" w:type="dxa"/>
            <w:tcBorders>
              <w:left w:val="single" w:sz="4" w:space="0" w:color="000000"/>
            </w:tcBorders>
          </w:tcPr>
          <w:p w14:paraId="667337BF" w14:textId="77777777" w:rsidR="0053785F" w:rsidRPr="00FE072D" w:rsidRDefault="0053785F" w:rsidP="00183D60">
            <w:pPr>
              <w:tabs>
                <w:tab w:val="left" w:pos="6804"/>
              </w:tabs>
              <w:snapToGrid w:val="0"/>
              <w:spacing w:before="40" w:after="40"/>
              <w:jc w:val="left"/>
              <w:rPr>
                <w:sz w:val="20"/>
                <w:szCs w:val="20"/>
              </w:rPr>
            </w:pPr>
            <w:r w:rsidRPr="00FE072D">
              <w:rPr>
                <w:sz w:val="20"/>
                <w:szCs w:val="20"/>
              </w:rPr>
              <w:t>Fremdüberwachungsvertrag für die Herstellung der geosynthetischen Tondichtungsbahn (GTD)</w:t>
            </w:r>
          </w:p>
        </w:tc>
        <w:tc>
          <w:tcPr>
            <w:tcW w:w="2036" w:type="dxa"/>
            <w:tcBorders>
              <w:left w:val="single" w:sz="4" w:space="0" w:color="000000"/>
              <w:right w:val="double" w:sz="2" w:space="0" w:color="000000"/>
            </w:tcBorders>
          </w:tcPr>
          <w:p w14:paraId="667337C0" w14:textId="77777777" w:rsidR="0053785F" w:rsidRPr="00FE072D" w:rsidRDefault="0053785F" w:rsidP="00183D60">
            <w:pPr>
              <w:tabs>
                <w:tab w:val="left" w:pos="6804"/>
              </w:tabs>
              <w:snapToGrid w:val="0"/>
              <w:spacing w:before="40" w:after="40"/>
              <w:rPr>
                <w:sz w:val="20"/>
                <w:szCs w:val="20"/>
              </w:rPr>
            </w:pPr>
            <w:r w:rsidRPr="00FE072D">
              <w:rPr>
                <w:sz w:val="20"/>
                <w:szCs w:val="20"/>
              </w:rPr>
              <w:t xml:space="preserve">2 Wochen vor Einbau </w:t>
            </w:r>
          </w:p>
        </w:tc>
      </w:tr>
      <w:tr w:rsidR="0053785F" w:rsidRPr="00A50357" w14:paraId="667337C5" w14:textId="77777777" w:rsidTr="00BE48BB">
        <w:tc>
          <w:tcPr>
            <w:tcW w:w="709" w:type="dxa"/>
            <w:tcBorders>
              <w:top w:val="single" w:sz="4" w:space="0" w:color="000000"/>
              <w:left w:val="double" w:sz="2" w:space="0" w:color="000000"/>
            </w:tcBorders>
          </w:tcPr>
          <w:p w14:paraId="667337C2" w14:textId="77777777" w:rsidR="0053785F" w:rsidRPr="00FE072D" w:rsidRDefault="0053785F" w:rsidP="00183D60">
            <w:pPr>
              <w:tabs>
                <w:tab w:val="left" w:pos="6804"/>
              </w:tabs>
              <w:snapToGrid w:val="0"/>
              <w:spacing w:before="40" w:after="40"/>
              <w:rPr>
                <w:sz w:val="20"/>
                <w:szCs w:val="20"/>
              </w:rPr>
            </w:pPr>
            <w:r w:rsidRPr="00FE072D">
              <w:rPr>
                <w:sz w:val="20"/>
                <w:szCs w:val="20"/>
              </w:rPr>
              <w:t>3</w:t>
            </w:r>
          </w:p>
        </w:tc>
        <w:tc>
          <w:tcPr>
            <w:tcW w:w="6637" w:type="dxa"/>
            <w:tcBorders>
              <w:top w:val="single" w:sz="4" w:space="0" w:color="000000"/>
              <w:left w:val="single" w:sz="4" w:space="0" w:color="000000"/>
            </w:tcBorders>
          </w:tcPr>
          <w:p w14:paraId="667337C3" w14:textId="77777777" w:rsidR="0053785F" w:rsidRPr="00FE072D" w:rsidRDefault="0053785F" w:rsidP="00183D60">
            <w:pPr>
              <w:tabs>
                <w:tab w:val="left" w:pos="6804"/>
              </w:tabs>
              <w:snapToGrid w:val="0"/>
              <w:spacing w:before="40" w:after="40"/>
              <w:jc w:val="left"/>
              <w:rPr>
                <w:sz w:val="20"/>
                <w:szCs w:val="20"/>
              </w:rPr>
            </w:pPr>
            <w:r w:rsidRPr="00FE072D">
              <w:rPr>
                <w:sz w:val="20"/>
                <w:szCs w:val="20"/>
              </w:rPr>
              <w:t>Verlegeplan für die geosynthetische Tondichtungsbahn (GTD)</w:t>
            </w:r>
          </w:p>
        </w:tc>
        <w:tc>
          <w:tcPr>
            <w:tcW w:w="2036" w:type="dxa"/>
            <w:tcBorders>
              <w:top w:val="single" w:sz="4" w:space="0" w:color="000000"/>
              <w:left w:val="single" w:sz="4" w:space="0" w:color="000000"/>
              <w:right w:val="double" w:sz="2" w:space="0" w:color="000000"/>
            </w:tcBorders>
          </w:tcPr>
          <w:p w14:paraId="667337C4" w14:textId="77777777" w:rsidR="0053785F" w:rsidRPr="00FE072D" w:rsidRDefault="0053785F" w:rsidP="00183D60">
            <w:pPr>
              <w:tabs>
                <w:tab w:val="left" w:pos="6804"/>
              </w:tabs>
              <w:snapToGrid w:val="0"/>
              <w:spacing w:before="40" w:after="40"/>
              <w:rPr>
                <w:sz w:val="20"/>
                <w:szCs w:val="20"/>
              </w:rPr>
            </w:pPr>
            <w:r w:rsidRPr="00FE072D">
              <w:rPr>
                <w:sz w:val="20"/>
                <w:szCs w:val="20"/>
              </w:rPr>
              <w:t xml:space="preserve">2 Wochen vor Einbau </w:t>
            </w:r>
          </w:p>
        </w:tc>
      </w:tr>
      <w:tr w:rsidR="00BE48BB" w:rsidRPr="00A50357" w14:paraId="667337C9" w14:textId="77777777" w:rsidTr="00BE48BB">
        <w:tc>
          <w:tcPr>
            <w:tcW w:w="709" w:type="dxa"/>
            <w:tcBorders>
              <w:top w:val="single" w:sz="4" w:space="0" w:color="000000"/>
              <w:left w:val="double" w:sz="2" w:space="0" w:color="000000"/>
            </w:tcBorders>
          </w:tcPr>
          <w:p w14:paraId="667337C6" w14:textId="77777777" w:rsidR="00BE48BB" w:rsidRPr="00FE072D" w:rsidRDefault="00BE48BB" w:rsidP="0074441A">
            <w:pPr>
              <w:tabs>
                <w:tab w:val="left" w:pos="6804"/>
              </w:tabs>
              <w:snapToGrid w:val="0"/>
              <w:spacing w:before="40" w:after="40"/>
              <w:rPr>
                <w:sz w:val="20"/>
                <w:szCs w:val="20"/>
              </w:rPr>
            </w:pPr>
            <w:r w:rsidRPr="00FE072D">
              <w:rPr>
                <w:sz w:val="20"/>
                <w:szCs w:val="20"/>
              </w:rPr>
              <w:t>4</w:t>
            </w:r>
          </w:p>
        </w:tc>
        <w:tc>
          <w:tcPr>
            <w:tcW w:w="6637" w:type="dxa"/>
            <w:tcBorders>
              <w:top w:val="single" w:sz="4" w:space="0" w:color="000000"/>
              <w:left w:val="single" w:sz="4" w:space="0" w:color="000000"/>
            </w:tcBorders>
          </w:tcPr>
          <w:p w14:paraId="667337C7" w14:textId="77777777" w:rsidR="00BE48BB" w:rsidRPr="00FE072D" w:rsidRDefault="00BE48BB" w:rsidP="0036539B">
            <w:pPr>
              <w:tabs>
                <w:tab w:val="left" w:pos="6804"/>
              </w:tabs>
              <w:snapToGrid w:val="0"/>
              <w:spacing w:before="40" w:after="40"/>
              <w:jc w:val="left"/>
              <w:rPr>
                <w:sz w:val="20"/>
                <w:szCs w:val="20"/>
              </w:rPr>
            </w:pPr>
            <w:r w:rsidRPr="00FE072D">
              <w:rPr>
                <w:sz w:val="20"/>
                <w:szCs w:val="20"/>
              </w:rPr>
              <w:t xml:space="preserve">Verlege- und Einbauanweisung für die geosynthetische </w:t>
            </w:r>
            <w:r>
              <w:rPr>
                <w:sz w:val="20"/>
                <w:szCs w:val="20"/>
              </w:rPr>
              <w:t>Tondich</w:t>
            </w:r>
            <w:r w:rsidRPr="00FE072D">
              <w:rPr>
                <w:sz w:val="20"/>
                <w:szCs w:val="20"/>
              </w:rPr>
              <w:t>tungsbahn (GTD)</w:t>
            </w:r>
          </w:p>
        </w:tc>
        <w:tc>
          <w:tcPr>
            <w:tcW w:w="2036" w:type="dxa"/>
            <w:tcBorders>
              <w:top w:val="single" w:sz="4" w:space="0" w:color="000000"/>
              <w:left w:val="single" w:sz="4" w:space="0" w:color="000000"/>
              <w:right w:val="double" w:sz="2" w:space="0" w:color="000000"/>
            </w:tcBorders>
          </w:tcPr>
          <w:p w14:paraId="667337C8" w14:textId="77777777" w:rsidR="00BE48BB" w:rsidRPr="00FE072D" w:rsidRDefault="00BE48BB" w:rsidP="0036539B">
            <w:pPr>
              <w:tabs>
                <w:tab w:val="left" w:pos="6804"/>
              </w:tabs>
              <w:snapToGrid w:val="0"/>
              <w:spacing w:before="40" w:after="40"/>
              <w:rPr>
                <w:sz w:val="20"/>
                <w:szCs w:val="20"/>
              </w:rPr>
            </w:pPr>
            <w:r w:rsidRPr="00FE072D">
              <w:rPr>
                <w:sz w:val="20"/>
                <w:szCs w:val="20"/>
              </w:rPr>
              <w:t>2 Wochen vor Baubeginn</w:t>
            </w:r>
          </w:p>
        </w:tc>
      </w:tr>
      <w:tr w:rsidR="00BE48BB" w:rsidRPr="00A50357" w14:paraId="667337CD" w14:textId="77777777" w:rsidTr="00BE48BB">
        <w:tc>
          <w:tcPr>
            <w:tcW w:w="709" w:type="dxa"/>
            <w:tcBorders>
              <w:top w:val="single" w:sz="4" w:space="0" w:color="000000"/>
              <w:left w:val="double" w:sz="2" w:space="0" w:color="000000"/>
            </w:tcBorders>
          </w:tcPr>
          <w:p w14:paraId="667337CA" w14:textId="77777777" w:rsidR="00BE48BB" w:rsidRPr="00FE072D" w:rsidRDefault="00BE48BB" w:rsidP="0074441A">
            <w:pPr>
              <w:tabs>
                <w:tab w:val="left" w:pos="6804"/>
              </w:tabs>
              <w:snapToGrid w:val="0"/>
              <w:spacing w:before="40" w:after="40"/>
              <w:rPr>
                <w:sz w:val="20"/>
                <w:szCs w:val="20"/>
              </w:rPr>
            </w:pPr>
            <w:r w:rsidRPr="00FE072D">
              <w:rPr>
                <w:sz w:val="20"/>
                <w:szCs w:val="20"/>
              </w:rPr>
              <w:t>5</w:t>
            </w:r>
          </w:p>
        </w:tc>
        <w:tc>
          <w:tcPr>
            <w:tcW w:w="6637" w:type="dxa"/>
            <w:tcBorders>
              <w:top w:val="single" w:sz="4" w:space="0" w:color="000000"/>
              <w:left w:val="single" w:sz="4" w:space="0" w:color="000000"/>
            </w:tcBorders>
          </w:tcPr>
          <w:p w14:paraId="667337CB" w14:textId="77777777" w:rsidR="00BE48BB" w:rsidRPr="00FE072D" w:rsidRDefault="00BE48BB" w:rsidP="00183D60">
            <w:pPr>
              <w:tabs>
                <w:tab w:val="left" w:pos="6804"/>
              </w:tabs>
              <w:snapToGrid w:val="0"/>
              <w:spacing w:before="40" w:after="40"/>
              <w:jc w:val="left"/>
              <w:rPr>
                <w:sz w:val="20"/>
                <w:szCs w:val="20"/>
              </w:rPr>
            </w:pPr>
            <w:r w:rsidRPr="00FE072D">
              <w:rPr>
                <w:sz w:val="20"/>
                <w:szCs w:val="20"/>
              </w:rPr>
              <w:t>Fremdüberwachungsbericht für die eingesetzte geosynthetische Tondichtungsbahn (GTD), Zeitraum entsprechend des Produk</w:t>
            </w:r>
            <w:r w:rsidRPr="00FE072D">
              <w:rPr>
                <w:sz w:val="20"/>
                <w:szCs w:val="20"/>
              </w:rPr>
              <w:softHyphen/>
              <w:t>tionszeitpunktes der gelieferten geosynthetischen Tondichtungsbahn (GTD)</w:t>
            </w:r>
          </w:p>
        </w:tc>
        <w:tc>
          <w:tcPr>
            <w:tcW w:w="2036" w:type="dxa"/>
            <w:tcBorders>
              <w:top w:val="single" w:sz="4" w:space="0" w:color="000000"/>
              <w:left w:val="single" w:sz="4" w:space="0" w:color="000000"/>
              <w:right w:val="double" w:sz="2" w:space="0" w:color="000000"/>
            </w:tcBorders>
          </w:tcPr>
          <w:p w14:paraId="667337CC" w14:textId="77777777" w:rsidR="00BE48BB" w:rsidRPr="00FE072D" w:rsidRDefault="00BE48BB" w:rsidP="0053785F">
            <w:pPr>
              <w:tabs>
                <w:tab w:val="left" w:pos="6804"/>
              </w:tabs>
              <w:snapToGrid w:val="0"/>
              <w:spacing w:before="40" w:after="40"/>
              <w:rPr>
                <w:sz w:val="20"/>
                <w:szCs w:val="20"/>
              </w:rPr>
            </w:pPr>
            <w:r w:rsidRPr="00FE072D">
              <w:rPr>
                <w:sz w:val="20"/>
                <w:szCs w:val="20"/>
              </w:rPr>
              <w:t>2 Wochen vor Baubeginn</w:t>
            </w:r>
          </w:p>
        </w:tc>
      </w:tr>
      <w:tr w:rsidR="00BE48BB" w:rsidRPr="00A50357" w14:paraId="667337D1" w14:textId="77777777" w:rsidTr="00BE48BB">
        <w:tc>
          <w:tcPr>
            <w:tcW w:w="709" w:type="dxa"/>
            <w:tcBorders>
              <w:top w:val="single" w:sz="4" w:space="0" w:color="000000"/>
              <w:left w:val="double" w:sz="2" w:space="0" w:color="000000"/>
            </w:tcBorders>
          </w:tcPr>
          <w:p w14:paraId="667337CE" w14:textId="77777777" w:rsidR="00BE48BB" w:rsidRPr="00FE072D" w:rsidRDefault="00BE48BB" w:rsidP="003A351C">
            <w:pPr>
              <w:tabs>
                <w:tab w:val="left" w:pos="6804"/>
              </w:tabs>
              <w:snapToGrid w:val="0"/>
              <w:spacing w:before="40" w:after="40"/>
              <w:rPr>
                <w:sz w:val="20"/>
                <w:szCs w:val="20"/>
              </w:rPr>
            </w:pPr>
            <w:r w:rsidRPr="00FE072D">
              <w:rPr>
                <w:sz w:val="20"/>
                <w:szCs w:val="20"/>
              </w:rPr>
              <w:t>6</w:t>
            </w:r>
          </w:p>
        </w:tc>
        <w:tc>
          <w:tcPr>
            <w:tcW w:w="6637" w:type="dxa"/>
            <w:tcBorders>
              <w:top w:val="single" w:sz="4" w:space="0" w:color="000000"/>
              <w:left w:val="single" w:sz="4" w:space="0" w:color="000000"/>
            </w:tcBorders>
          </w:tcPr>
          <w:p w14:paraId="667337CF" w14:textId="77777777" w:rsidR="00BE48BB" w:rsidRPr="00FE072D" w:rsidRDefault="00BE48BB" w:rsidP="00183D60">
            <w:pPr>
              <w:tabs>
                <w:tab w:val="left" w:pos="6804"/>
              </w:tabs>
              <w:snapToGrid w:val="0"/>
              <w:spacing w:before="40" w:after="40"/>
              <w:jc w:val="left"/>
              <w:rPr>
                <w:sz w:val="20"/>
                <w:szCs w:val="20"/>
              </w:rPr>
            </w:pPr>
            <w:r>
              <w:rPr>
                <w:sz w:val="20"/>
                <w:szCs w:val="20"/>
              </w:rPr>
              <w:t>Standsicherheitsnachweis mit Nachweis der Scherparameter zu den angrenzenden Schichten</w:t>
            </w:r>
          </w:p>
        </w:tc>
        <w:tc>
          <w:tcPr>
            <w:tcW w:w="2036" w:type="dxa"/>
            <w:tcBorders>
              <w:top w:val="single" w:sz="4" w:space="0" w:color="000000"/>
              <w:left w:val="single" w:sz="4" w:space="0" w:color="000000"/>
              <w:right w:val="double" w:sz="2" w:space="0" w:color="000000"/>
            </w:tcBorders>
          </w:tcPr>
          <w:p w14:paraId="667337D0" w14:textId="77777777" w:rsidR="00BE48BB" w:rsidRPr="00FE072D" w:rsidRDefault="00BE48BB" w:rsidP="0053785F">
            <w:pPr>
              <w:tabs>
                <w:tab w:val="left" w:pos="6804"/>
              </w:tabs>
              <w:snapToGrid w:val="0"/>
              <w:spacing w:before="40" w:after="40"/>
              <w:rPr>
                <w:sz w:val="20"/>
                <w:szCs w:val="20"/>
              </w:rPr>
            </w:pPr>
            <w:r w:rsidRPr="00FE072D">
              <w:rPr>
                <w:sz w:val="20"/>
                <w:szCs w:val="20"/>
              </w:rPr>
              <w:t>2 Wochen vor Baubeginn</w:t>
            </w:r>
          </w:p>
        </w:tc>
      </w:tr>
      <w:tr w:rsidR="00BE48BB" w:rsidRPr="00A50357" w14:paraId="667337D5" w14:textId="77777777" w:rsidTr="00BE48BB">
        <w:tc>
          <w:tcPr>
            <w:tcW w:w="709" w:type="dxa"/>
            <w:tcBorders>
              <w:top w:val="single" w:sz="4" w:space="0" w:color="000000"/>
              <w:left w:val="double" w:sz="2" w:space="0" w:color="000000"/>
              <w:bottom w:val="single" w:sz="4" w:space="0" w:color="000000"/>
            </w:tcBorders>
          </w:tcPr>
          <w:p w14:paraId="667337D2" w14:textId="77777777" w:rsidR="00BE48BB" w:rsidRPr="00FE072D" w:rsidRDefault="00BE48BB" w:rsidP="003A351C">
            <w:pPr>
              <w:tabs>
                <w:tab w:val="left" w:pos="6804"/>
              </w:tabs>
              <w:snapToGrid w:val="0"/>
              <w:spacing w:before="40" w:after="40"/>
              <w:rPr>
                <w:sz w:val="20"/>
                <w:szCs w:val="20"/>
              </w:rPr>
            </w:pPr>
            <w:r w:rsidRPr="00FE072D">
              <w:rPr>
                <w:sz w:val="20"/>
                <w:szCs w:val="20"/>
              </w:rPr>
              <w:t>7</w:t>
            </w:r>
          </w:p>
        </w:tc>
        <w:tc>
          <w:tcPr>
            <w:tcW w:w="6637" w:type="dxa"/>
            <w:tcBorders>
              <w:top w:val="single" w:sz="4" w:space="0" w:color="000000"/>
              <w:left w:val="single" w:sz="4" w:space="0" w:color="000000"/>
              <w:bottom w:val="single" w:sz="4" w:space="0" w:color="000000"/>
            </w:tcBorders>
          </w:tcPr>
          <w:p w14:paraId="667337D3" w14:textId="77777777" w:rsidR="00BE48BB" w:rsidRPr="00FE072D" w:rsidRDefault="00BE48BB" w:rsidP="00183D60">
            <w:pPr>
              <w:tabs>
                <w:tab w:val="left" w:pos="6804"/>
              </w:tabs>
              <w:snapToGrid w:val="0"/>
              <w:spacing w:before="40" w:after="40"/>
              <w:jc w:val="left"/>
              <w:rPr>
                <w:sz w:val="20"/>
                <w:szCs w:val="20"/>
              </w:rPr>
            </w:pPr>
            <w:r w:rsidRPr="00FE072D">
              <w:rPr>
                <w:sz w:val="20"/>
                <w:szCs w:val="20"/>
              </w:rPr>
              <w:t>Abnahmeprüfzeugnis 3.1 nach DIN EN 10204 für die gelieferten geosynthetischen Tondichtungsbahnen (GTD)</w:t>
            </w:r>
          </w:p>
        </w:tc>
        <w:tc>
          <w:tcPr>
            <w:tcW w:w="2036" w:type="dxa"/>
            <w:tcBorders>
              <w:top w:val="single" w:sz="4" w:space="0" w:color="000000"/>
              <w:left w:val="single" w:sz="4" w:space="0" w:color="000000"/>
              <w:bottom w:val="single" w:sz="4" w:space="0" w:color="000000"/>
              <w:right w:val="double" w:sz="2" w:space="0" w:color="000000"/>
            </w:tcBorders>
          </w:tcPr>
          <w:p w14:paraId="667337D4" w14:textId="77777777" w:rsidR="00BE48BB" w:rsidRPr="00FE072D" w:rsidRDefault="00BE48BB" w:rsidP="00183D60">
            <w:pPr>
              <w:tabs>
                <w:tab w:val="left" w:pos="6804"/>
              </w:tabs>
              <w:snapToGrid w:val="0"/>
              <w:spacing w:before="40" w:after="40"/>
              <w:rPr>
                <w:sz w:val="20"/>
                <w:szCs w:val="20"/>
              </w:rPr>
            </w:pPr>
            <w:r w:rsidRPr="00FE072D">
              <w:rPr>
                <w:sz w:val="20"/>
                <w:szCs w:val="20"/>
              </w:rPr>
              <w:t>bei Lieferung</w:t>
            </w:r>
          </w:p>
        </w:tc>
      </w:tr>
      <w:tr w:rsidR="00BE48BB" w:rsidRPr="00A50357" w14:paraId="667337D9" w14:textId="77777777" w:rsidTr="00BE48BB">
        <w:tc>
          <w:tcPr>
            <w:tcW w:w="709" w:type="dxa"/>
            <w:tcBorders>
              <w:left w:val="double" w:sz="2" w:space="0" w:color="000000"/>
              <w:bottom w:val="single" w:sz="4" w:space="0" w:color="000000"/>
            </w:tcBorders>
          </w:tcPr>
          <w:p w14:paraId="667337D6" w14:textId="77777777" w:rsidR="00BE48BB" w:rsidRPr="00FE072D" w:rsidRDefault="00BE48BB" w:rsidP="003A351C">
            <w:pPr>
              <w:tabs>
                <w:tab w:val="left" w:pos="6804"/>
              </w:tabs>
              <w:snapToGrid w:val="0"/>
              <w:spacing w:before="40" w:after="40"/>
              <w:rPr>
                <w:sz w:val="20"/>
                <w:szCs w:val="20"/>
              </w:rPr>
            </w:pPr>
            <w:r w:rsidRPr="00FE072D">
              <w:rPr>
                <w:sz w:val="20"/>
                <w:szCs w:val="20"/>
              </w:rPr>
              <w:t>8</w:t>
            </w:r>
          </w:p>
        </w:tc>
        <w:tc>
          <w:tcPr>
            <w:tcW w:w="6637" w:type="dxa"/>
            <w:tcBorders>
              <w:left w:val="single" w:sz="4" w:space="0" w:color="000000"/>
              <w:bottom w:val="single" w:sz="4" w:space="0" w:color="000000"/>
            </w:tcBorders>
          </w:tcPr>
          <w:p w14:paraId="667337D7" w14:textId="77777777" w:rsidR="00BE48BB" w:rsidRPr="00FE072D" w:rsidRDefault="00BE48BB" w:rsidP="00183D60">
            <w:pPr>
              <w:tabs>
                <w:tab w:val="left" w:pos="6804"/>
              </w:tabs>
              <w:snapToGrid w:val="0"/>
              <w:spacing w:before="40" w:after="40"/>
              <w:jc w:val="left"/>
              <w:rPr>
                <w:sz w:val="20"/>
                <w:szCs w:val="20"/>
              </w:rPr>
            </w:pPr>
            <w:r w:rsidRPr="00FE072D">
              <w:rPr>
                <w:sz w:val="20"/>
                <w:szCs w:val="20"/>
              </w:rPr>
              <w:t>CE-Zertifikat der werkseigenen Produktionskontrolle</w:t>
            </w:r>
          </w:p>
        </w:tc>
        <w:tc>
          <w:tcPr>
            <w:tcW w:w="2036" w:type="dxa"/>
            <w:tcBorders>
              <w:left w:val="single" w:sz="4" w:space="0" w:color="000000"/>
              <w:bottom w:val="single" w:sz="4" w:space="0" w:color="000000"/>
              <w:right w:val="double" w:sz="2" w:space="0" w:color="000000"/>
            </w:tcBorders>
          </w:tcPr>
          <w:p w14:paraId="667337D8" w14:textId="77777777" w:rsidR="00BE48BB" w:rsidRPr="00FE072D" w:rsidRDefault="00BE48BB" w:rsidP="00183D60">
            <w:pPr>
              <w:tabs>
                <w:tab w:val="left" w:pos="6804"/>
              </w:tabs>
              <w:snapToGrid w:val="0"/>
              <w:spacing w:before="40" w:after="40"/>
              <w:rPr>
                <w:sz w:val="20"/>
                <w:szCs w:val="20"/>
              </w:rPr>
            </w:pPr>
            <w:r w:rsidRPr="00FE072D">
              <w:rPr>
                <w:sz w:val="20"/>
                <w:szCs w:val="20"/>
              </w:rPr>
              <w:t>bei Lieferung</w:t>
            </w:r>
          </w:p>
        </w:tc>
      </w:tr>
      <w:tr w:rsidR="00BE48BB" w:rsidRPr="00A50357" w14:paraId="667337DD" w14:textId="77777777" w:rsidTr="00BE48BB">
        <w:tc>
          <w:tcPr>
            <w:tcW w:w="709" w:type="dxa"/>
            <w:tcBorders>
              <w:left w:val="double" w:sz="2" w:space="0" w:color="000000"/>
              <w:bottom w:val="single" w:sz="4" w:space="0" w:color="000000"/>
            </w:tcBorders>
          </w:tcPr>
          <w:p w14:paraId="667337DA" w14:textId="77777777" w:rsidR="00BE48BB" w:rsidRPr="00FE072D" w:rsidRDefault="00BE48BB" w:rsidP="003A351C">
            <w:pPr>
              <w:tabs>
                <w:tab w:val="left" w:pos="6804"/>
              </w:tabs>
              <w:snapToGrid w:val="0"/>
              <w:spacing w:before="40" w:after="40"/>
              <w:rPr>
                <w:sz w:val="20"/>
                <w:szCs w:val="20"/>
              </w:rPr>
            </w:pPr>
            <w:r w:rsidRPr="00FE072D">
              <w:rPr>
                <w:sz w:val="20"/>
                <w:szCs w:val="20"/>
              </w:rPr>
              <w:t>9</w:t>
            </w:r>
          </w:p>
        </w:tc>
        <w:tc>
          <w:tcPr>
            <w:tcW w:w="6637" w:type="dxa"/>
            <w:tcBorders>
              <w:left w:val="single" w:sz="4" w:space="0" w:color="000000"/>
              <w:bottom w:val="single" w:sz="4" w:space="0" w:color="000000"/>
            </w:tcBorders>
          </w:tcPr>
          <w:p w14:paraId="667337DB" w14:textId="77777777" w:rsidR="00BE48BB" w:rsidRPr="00FE072D" w:rsidRDefault="00BE48BB" w:rsidP="00183D60">
            <w:pPr>
              <w:tabs>
                <w:tab w:val="left" w:pos="6804"/>
              </w:tabs>
              <w:snapToGrid w:val="0"/>
              <w:spacing w:before="40" w:after="40"/>
              <w:jc w:val="left"/>
              <w:rPr>
                <w:sz w:val="20"/>
                <w:szCs w:val="20"/>
              </w:rPr>
            </w:pPr>
            <w:r w:rsidRPr="00FE072D">
              <w:rPr>
                <w:sz w:val="20"/>
                <w:szCs w:val="20"/>
              </w:rPr>
              <w:t>Begleitdokument gemäß DIN EN 13493</w:t>
            </w:r>
          </w:p>
        </w:tc>
        <w:tc>
          <w:tcPr>
            <w:tcW w:w="2036" w:type="dxa"/>
            <w:tcBorders>
              <w:left w:val="single" w:sz="4" w:space="0" w:color="000000"/>
              <w:bottom w:val="single" w:sz="4" w:space="0" w:color="000000"/>
              <w:right w:val="double" w:sz="2" w:space="0" w:color="000000"/>
            </w:tcBorders>
          </w:tcPr>
          <w:p w14:paraId="667337DC" w14:textId="77777777" w:rsidR="00BE48BB" w:rsidRPr="00FE072D" w:rsidRDefault="00BE48BB" w:rsidP="00183D60">
            <w:pPr>
              <w:tabs>
                <w:tab w:val="left" w:pos="6804"/>
              </w:tabs>
              <w:snapToGrid w:val="0"/>
              <w:spacing w:before="40" w:after="40"/>
              <w:rPr>
                <w:sz w:val="20"/>
                <w:szCs w:val="20"/>
              </w:rPr>
            </w:pPr>
            <w:r w:rsidRPr="00FE072D">
              <w:rPr>
                <w:sz w:val="20"/>
                <w:szCs w:val="20"/>
              </w:rPr>
              <w:t>bei Lieferung</w:t>
            </w:r>
          </w:p>
        </w:tc>
      </w:tr>
      <w:tr w:rsidR="00BE48BB" w14:paraId="667337E1" w14:textId="77777777" w:rsidTr="00BE48BB">
        <w:tc>
          <w:tcPr>
            <w:tcW w:w="709" w:type="dxa"/>
            <w:tcBorders>
              <w:top w:val="single" w:sz="4" w:space="0" w:color="000000"/>
              <w:left w:val="double" w:sz="2" w:space="0" w:color="000000"/>
              <w:bottom w:val="double" w:sz="2" w:space="0" w:color="000000"/>
            </w:tcBorders>
          </w:tcPr>
          <w:p w14:paraId="667337DE" w14:textId="77777777" w:rsidR="00BE48BB" w:rsidRPr="00FE072D" w:rsidRDefault="00BE48BB" w:rsidP="00F952BA">
            <w:pPr>
              <w:tabs>
                <w:tab w:val="left" w:pos="6804"/>
              </w:tabs>
              <w:snapToGrid w:val="0"/>
              <w:spacing w:before="40" w:after="40"/>
              <w:rPr>
                <w:sz w:val="20"/>
                <w:szCs w:val="20"/>
              </w:rPr>
            </w:pPr>
            <w:r>
              <w:rPr>
                <w:sz w:val="20"/>
                <w:szCs w:val="20"/>
              </w:rPr>
              <w:t>10</w:t>
            </w:r>
          </w:p>
        </w:tc>
        <w:tc>
          <w:tcPr>
            <w:tcW w:w="6637" w:type="dxa"/>
            <w:tcBorders>
              <w:top w:val="single" w:sz="4" w:space="0" w:color="000000"/>
              <w:left w:val="single" w:sz="4" w:space="0" w:color="000000"/>
              <w:bottom w:val="double" w:sz="1" w:space="0" w:color="000000"/>
            </w:tcBorders>
          </w:tcPr>
          <w:p w14:paraId="667337DF" w14:textId="77777777" w:rsidR="00BE48BB" w:rsidRPr="00FE072D" w:rsidRDefault="00BE48BB" w:rsidP="00F952BA">
            <w:pPr>
              <w:tabs>
                <w:tab w:val="left" w:pos="6804"/>
              </w:tabs>
              <w:snapToGrid w:val="0"/>
              <w:spacing w:before="40" w:after="40"/>
              <w:jc w:val="left"/>
              <w:rPr>
                <w:sz w:val="20"/>
                <w:szCs w:val="20"/>
              </w:rPr>
            </w:pPr>
            <w:r w:rsidRPr="00FE072D">
              <w:rPr>
                <w:sz w:val="20"/>
                <w:szCs w:val="20"/>
              </w:rPr>
              <w:t>Lieferscheine aller angelieferten Materialien</w:t>
            </w:r>
            <w:r w:rsidRPr="00FE072D">
              <w:rPr>
                <w:sz w:val="20"/>
                <w:szCs w:val="20"/>
              </w:rPr>
              <w:br/>
              <w:t>(Komponenten und Durchführungen)</w:t>
            </w:r>
          </w:p>
        </w:tc>
        <w:tc>
          <w:tcPr>
            <w:tcW w:w="2036" w:type="dxa"/>
            <w:tcBorders>
              <w:top w:val="single" w:sz="4" w:space="0" w:color="000000"/>
              <w:left w:val="single" w:sz="4" w:space="0" w:color="000000"/>
              <w:bottom w:val="double" w:sz="1" w:space="0" w:color="000000"/>
              <w:right w:val="double" w:sz="2" w:space="0" w:color="000000"/>
            </w:tcBorders>
          </w:tcPr>
          <w:p w14:paraId="667337E0" w14:textId="77777777" w:rsidR="00BE48BB" w:rsidRPr="00FE072D" w:rsidRDefault="00BE48BB" w:rsidP="00F952BA">
            <w:pPr>
              <w:tabs>
                <w:tab w:val="left" w:pos="6804"/>
              </w:tabs>
              <w:snapToGrid w:val="0"/>
              <w:spacing w:before="40" w:after="40"/>
              <w:rPr>
                <w:sz w:val="20"/>
                <w:szCs w:val="20"/>
              </w:rPr>
            </w:pPr>
            <w:r w:rsidRPr="00FE072D">
              <w:rPr>
                <w:sz w:val="20"/>
                <w:szCs w:val="20"/>
              </w:rPr>
              <w:t>bei Lieferung</w:t>
            </w:r>
          </w:p>
        </w:tc>
      </w:tr>
    </w:tbl>
    <w:p w14:paraId="667337E2" w14:textId="77777777" w:rsidR="0053785F" w:rsidRPr="00A50357" w:rsidRDefault="0053785F" w:rsidP="0053785F">
      <w:pPr>
        <w:pStyle w:val="StAbsatz"/>
        <w:ind w:left="0"/>
      </w:pPr>
    </w:p>
    <w:p w14:paraId="667337E3" w14:textId="77777777" w:rsidR="00142754" w:rsidRDefault="00142754" w:rsidP="00142754">
      <w:pPr>
        <w:pStyle w:val="Textabsatz"/>
      </w:pPr>
      <w:r>
        <w:t>Der Nachweis der Standsicherheit der Oberflächenabdichtung ist für alle maßgebenden Bau- und Betriebszustände nach den in der Geotechnik üblichen Verfahren, z. B. nach GDA E2-7 zu erbringen. Dabei dürfen die Tondichtungsbahnen nicht zur planmäßigen Übertragung von Schubkräften herangezogen werden.</w:t>
      </w:r>
    </w:p>
    <w:p w14:paraId="667337E4" w14:textId="77777777" w:rsidR="002B6463" w:rsidRDefault="00142754" w:rsidP="00142754">
      <w:pPr>
        <w:pStyle w:val="Textabsatz"/>
      </w:pPr>
      <w:r>
        <w:t>Für den Nachweis der Standsicherheit einer Gleitfläche zwischen der Tondichtungsbahn und angrenzenden Schichten sind die erforderlichen Reibungsparameter für die zur Anwendung kommenden Baustoffe durch geeignete Scherversuche festzustellen. Bei den Festlegungen zur Versuchsdurchführung und der Bewertung der Versuchsergebnisse ist die GDA-Empfehlung E 3-8 zu berücksichtigen.</w:t>
      </w:r>
    </w:p>
    <w:p w14:paraId="667337E5" w14:textId="77777777" w:rsidR="00142754" w:rsidRPr="00235D8B" w:rsidRDefault="00142754" w:rsidP="00142754">
      <w:pPr>
        <w:pStyle w:val="Textabsatz"/>
      </w:pPr>
    </w:p>
    <w:p w14:paraId="667337E6" w14:textId="77777777" w:rsidR="00AC45AF" w:rsidRDefault="00AC45AF" w:rsidP="00925A6D">
      <w:pPr>
        <w:pStyle w:val="berschrift2"/>
      </w:pPr>
      <w:bookmarkStart w:id="4" w:name="_Toc2861888"/>
      <w:r>
        <w:lastRenderedPageBreak/>
        <w:t>Eingangsprüfungen</w:t>
      </w:r>
      <w:bookmarkEnd w:id="4"/>
      <w:r w:rsidR="00235D8B">
        <w:t xml:space="preserve"> GTD</w:t>
      </w:r>
    </w:p>
    <w:p w14:paraId="667337E7" w14:textId="77777777" w:rsidR="00235D8B" w:rsidRPr="00A50357" w:rsidRDefault="00235D8B" w:rsidP="00235D8B">
      <w:pPr>
        <w:pStyle w:val="berschrift3"/>
      </w:pPr>
      <w:bookmarkStart w:id="5" w:name="_Toc330398924"/>
      <w:bookmarkStart w:id="6" w:name="_Toc387926546"/>
      <w:r w:rsidRPr="00A50357">
        <w:t>Herstell</w:t>
      </w:r>
      <w:bookmarkEnd w:id="5"/>
      <w:r>
        <w:t>ung Werkseigene Produktionskontrolle GTD</w:t>
      </w:r>
      <w:bookmarkEnd w:id="6"/>
    </w:p>
    <w:p w14:paraId="667337E8" w14:textId="77777777" w:rsidR="00235D8B" w:rsidRPr="00A50357" w:rsidRDefault="00235D8B" w:rsidP="00235D8B">
      <w:pPr>
        <w:tabs>
          <w:tab w:val="left" w:pos="851"/>
        </w:tabs>
        <w:spacing w:line="360" w:lineRule="atLeast"/>
      </w:pPr>
      <w:r>
        <w:t xml:space="preserve">Die </w:t>
      </w:r>
      <w:r w:rsidRPr="00A50357">
        <w:t xml:space="preserve">Art und </w:t>
      </w:r>
      <w:r>
        <w:t>Häufigkeit der Prüfungen der Produktherstellung bei</w:t>
      </w:r>
      <w:r w:rsidR="00F227A6">
        <w:t xml:space="preserve"> Eigen- und </w:t>
      </w:r>
      <w:r>
        <w:t xml:space="preserve">Fremdüberwachung sind in der LAGA-Eignungsbeurteilung für alle Einzelprodukte der GTD (Vliese, Bentonit) und das Gesamtprodukt detailliert beschrieben. Die Vorgaben sind zwingend einzuhalten. </w:t>
      </w:r>
    </w:p>
    <w:p w14:paraId="667337E9" w14:textId="77777777" w:rsidR="00235D8B" w:rsidRPr="00A50357" w:rsidRDefault="00235D8B" w:rsidP="00235D8B">
      <w:pPr>
        <w:spacing w:line="360" w:lineRule="atLeast"/>
      </w:pPr>
      <w:r w:rsidRPr="00A50357">
        <w:t>Die Ergebnisse der Eigenüberwachung werden zusammen mit den Produktionsdaten und den Rollennummern für jede Lieferung in einem Abnahmeprüfzeugnis 3.1 nach DIN EN 10204 dokumentiert. Darin wird bestätigt, dass die zugesicherten Eigenschaften nachgewiesen wurden und die in der Eignungsfeststellung vorgegebenen Materialien verarbeitet wurden.</w:t>
      </w:r>
    </w:p>
    <w:p w14:paraId="667337EA" w14:textId="77777777" w:rsidR="00235D8B" w:rsidRPr="00A50357" w:rsidRDefault="00235D8B" w:rsidP="00235D8B">
      <w:pPr>
        <w:spacing w:line="360" w:lineRule="atLeast"/>
      </w:pPr>
      <w:r w:rsidRPr="00A50357">
        <w:t>Die GTD werden vom Hersteller fortlaufend so gekennzeichnet (Rollennummern), dass sie den Lieferscheinen und den Abnahmeprüfzeugnissen zuzuordnen sind. Die Abnahmeprüfzeugnisse sind der Fremdprüfung zusammen mit den Lieferscheinen vor, spätestens jedoch bei Lieferung der GTD zur Baustelle zu übergeben.</w:t>
      </w:r>
    </w:p>
    <w:p w14:paraId="667337EB" w14:textId="77777777" w:rsidR="00235D8B" w:rsidRPr="00A50357" w:rsidRDefault="00235D8B" w:rsidP="00235D8B">
      <w:pPr>
        <w:tabs>
          <w:tab w:val="left" w:pos="851"/>
        </w:tabs>
        <w:spacing w:line="360" w:lineRule="atLeast"/>
        <w:ind w:firstLine="142"/>
      </w:pPr>
    </w:p>
    <w:p w14:paraId="667337EC" w14:textId="77777777" w:rsidR="00235D8B" w:rsidRPr="00A50357" w:rsidRDefault="00235D8B" w:rsidP="00F227A6">
      <w:pPr>
        <w:pStyle w:val="berschrift3"/>
      </w:pPr>
      <w:bookmarkStart w:id="7" w:name="_Toc387926548"/>
      <w:r>
        <w:t>Identifikationsprüfung / Fremdprüfung GTD</w:t>
      </w:r>
      <w:bookmarkEnd w:id="7"/>
    </w:p>
    <w:p w14:paraId="667337ED" w14:textId="77777777" w:rsidR="00EC4718" w:rsidRPr="00A50357" w:rsidRDefault="00235D8B" w:rsidP="00235D8B">
      <w:pPr>
        <w:spacing w:line="360" w:lineRule="atLeast"/>
      </w:pPr>
      <w:r w:rsidRPr="00A50357">
        <w:t xml:space="preserve">Die Ergebnisse der Eigenüberwachung werden durch den Fremdprüfer geprüft und durch </w:t>
      </w:r>
      <w:r w:rsidR="00F227A6">
        <w:t xml:space="preserve">die folgenden </w:t>
      </w:r>
      <w:r w:rsidRPr="00A50357">
        <w:t>Kontrollprüfungen ergänzt:</w:t>
      </w:r>
    </w:p>
    <w:p w14:paraId="667337EE" w14:textId="77777777"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 xml:space="preserve">Masse pro Flächeneinheit (DIN EN 14196) </w:t>
      </w:r>
      <w:r>
        <w:tab/>
        <w:t>alle 2.500 m²</w:t>
      </w:r>
    </w:p>
    <w:p w14:paraId="667337EF" w14:textId="77777777"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 xml:space="preserve">Flächenmasse an Bentonit (DIN EN 14196) </w:t>
      </w:r>
      <w:r>
        <w:tab/>
      </w:r>
      <w:r w:rsidR="00155C75">
        <w:t>alle 2.5</w:t>
      </w:r>
      <w:r>
        <w:t>00 m²</w:t>
      </w:r>
    </w:p>
    <w:p w14:paraId="667337F0" w14:textId="77777777" w:rsidR="00EC4718" w:rsidRDefault="00EC4718" w:rsidP="00EC4718">
      <w:pPr>
        <w:tabs>
          <w:tab w:val="left" w:pos="851"/>
          <w:tab w:val="left" w:pos="7088"/>
          <w:tab w:val="right" w:pos="8789"/>
        </w:tabs>
        <w:spacing w:before="0" w:line="360" w:lineRule="atLeast"/>
      </w:pPr>
      <w:r>
        <w:t>bezogen auf einen Wassergehalt von 0%</w:t>
      </w:r>
    </w:p>
    <w:p w14:paraId="667337F1" w14:textId="77777777"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 xml:space="preserve">mittlere Schälkraft längs (ASTM D 6496a) </w:t>
      </w:r>
      <w:r>
        <w:tab/>
        <w:t>alle 7.500 m²</w:t>
      </w:r>
    </w:p>
    <w:p w14:paraId="667337F2" w14:textId="77777777" w:rsidR="00EC4718" w:rsidRDefault="00EC4718" w:rsidP="00EC4718">
      <w:pPr>
        <w:tabs>
          <w:tab w:val="left" w:pos="851"/>
          <w:tab w:val="left" w:pos="7088"/>
          <w:tab w:val="right" w:pos="8789"/>
        </w:tabs>
        <w:spacing w:before="0" w:line="360" w:lineRule="atLeast"/>
      </w:pPr>
      <w:r>
        <w:t>oder</w:t>
      </w:r>
    </w:p>
    <w:p w14:paraId="667337F3" w14:textId="77777777"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 xml:space="preserve">Verbundfestigkeit längs/quer (DIN EN ISO 13462-2, Prüfung B) </w:t>
      </w:r>
      <w:r>
        <w:tab/>
        <w:t>alle 7.500 m²</w:t>
      </w:r>
    </w:p>
    <w:p w14:paraId="667337F4" w14:textId="77777777"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Permittivität (DIN EN 16416)</w:t>
      </w:r>
      <w:r>
        <w:tab/>
        <w:t>alle 7.500 m²</w:t>
      </w:r>
    </w:p>
    <w:p w14:paraId="667337F5" w14:textId="693DB7A1" w:rsidR="00EC4718" w:rsidRDefault="00EC4718" w:rsidP="00EC4718">
      <w:pPr>
        <w:numPr>
          <w:ilvl w:val="0"/>
          <w:numId w:val="28"/>
        </w:numPr>
        <w:tabs>
          <w:tab w:val="clear" w:pos="360"/>
          <w:tab w:val="num" w:pos="426"/>
          <w:tab w:val="left" w:pos="851"/>
          <w:tab w:val="left" w:pos="7088"/>
          <w:tab w:val="right" w:pos="8789"/>
        </w:tabs>
        <w:spacing w:before="0" w:line="360" w:lineRule="atLeast"/>
        <w:ind w:left="0" w:firstLine="0"/>
      </w:pPr>
      <w:r>
        <w:t>Höchstzugkraft längs/quer (DIN EN ISO 10319)</w:t>
      </w:r>
      <w:r w:rsidR="00A631BC" w:rsidRPr="00A631BC">
        <w:rPr>
          <w:vertAlign w:val="superscript"/>
        </w:rPr>
        <w:t>1</w:t>
      </w:r>
      <w:r w:rsidRPr="00A631BC">
        <w:rPr>
          <w:vertAlign w:val="superscript"/>
        </w:rPr>
        <w:t xml:space="preserve"> </w:t>
      </w:r>
      <w:r>
        <w:tab/>
        <w:t>alle 10.000 m²</w:t>
      </w:r>
    </w:p>
    <w:p w14:paraId="667337F6" w14:textId="7EB10C9C" w:rsidR="00235D8B" w:rsidRDefault="00EC4718" w:rsidP="00235D8B">
      <w:pPr>
        <w:numPr>
          <w:ilvl w:val="0"/>
          <w:numId w:val="28"/>
        </w:numPr>
        <w:tabs>
          <w:tab w:val="clear" w:pos="360"/>
          <w:tab w:val="num" w:pos="426"/>
          <w:tab w:val="left" w:pos="851"/>
          <w:tab w:val="left" w:pos="7088"/>
          <w:tab w:val="right" w:pos="8789"/>
        </w:tabs>
        <w:spacing w:before="0" w:line="360" w:lineRule="atLeast"/>
        <w:ind w:left="0" w:firstLine="0"/>
      </w:pPr>
      <w:r>
        <w:t>Dehnung bei Höchstzugkraft längs/quer (DIN EN ISO 10319)</w:t>
      </w:r>
      <w:r w:rsidR="00A631BC" w:rsidRPr="00A631BC">
        <w:rPr>
          <w:vertAlign w:val="superscript"/>
        </w:rPr>
        <w:t>1</w:t>
      </w:r>
      <w:r>
        <w:t xml:space="preserve"> </w:t>
      </w:r>
      <w:r>
        <w:tab/>
        <w:t>alle 10.000 m²</w:t>
      </w:r>
    </w:p>
    <w:p w14:paraId="667337F7" w14:textId="7C3CF353" w:rsidR="00EC4718" w:rsidRPr="00A631BC" w:rsidRDefault="00A631BC" w:rsidP="00A631BC">
      <w:pPr>
        <w:tabs>
          <w:tab w:val="left" w:pos="851"/>
          <w:tab w:val="left" w:pos="7088"/>
          <w:tab w:val="right" w:pos="8789"/>
        </w:tabs>
        <w:spacing w:before="0" w:line="360" w:lineRule="atLeast"/>
        <w:rPr>
          <w:sz w:val="18"/>
          <w:szCs w:val="18"/>
        </w:rPr>
      </w:pPr>
      <w:r w:rsidRPr="00A631BC">
        <w:rPr>
          <w:vertAlign w:val="superscript"/>
        </w:rPr>
        <w:t>1</w:t>
      </w:r>
      <w:r>
        <w:t xml:space="preserve"> </w:t>
      </w:r>
      <w:r w:rsidRPr="00A631BC">
        <w:rPr>
          <w:sz w:val="18"/>
          <w:szCs w:val="18"/>
        </w:rPr>
        <w:t>Alternativ kann der Parameter nach DIN EN 29073-3 bestimmt werden, wenn in der Eignungsbeurteilung</w:t>
      </w:r>
      <w:r w:rsidRPr="00A631BC">
        <w:rPr>
          <w:sz w:val="18"/>
          <w:szCs w:val="18"/>
        </w:rPr>
        <w:t xml:space="preserve"> </w:t>
      </w:r>
      <w:r w:rsidRPr="00A631BC">
        <w:rPr>
          <w:sz w:val="18"/>
          <w:szCs w:val="18"/>
        </w:rPr>
        <w:t>nach diesem Verfahren bestimmte Korrelationsfaktoren verankert sind</w:t>
      </w:r>
      <w:bookmarkStart w:id="8" w:name="_GoBack"/>
      <w:bookmarkEnd w:id="8"/>
    </w:p>
    <w:p w14:paraId="667337F8" w14:textId="77777777" w:rsidR="002E73E5" w:rsidRPr="002E73E5" w:rsidRDefault="002E73E5" w:rsidP="002E73E5">
      <w:pPr>
        <w:spacing w:line="360" w:lineRule="atLeast"/>
        <w:rPr>
          <w:b/>
        </w:rPr>
      </w:pPr>
      <w:r w:rsidRPr="002E73E5">
        <w:rPr>
          <w:b/>
        </w:rPr>
        <w:t>Hinweise:</w:t>
      </w:r>
    </w:p>
    <w:p w14:paraId="667337F9" w14:textId="77777777" w:rsidR="002E73E5" w:rsidRPr="002E73E5" w:rsidRDefault="002E73E5" w:rsidP="002E73E5">
      <w:pPr>
        <w:spacing w:line="360" w:lineRule="atLeast"/>
      </w:pPr>
      <w:r w:rsidRPr="002E73E5">
        <w:t>Art und Häufigkeit dieser Prüfungen richten sich nach den Vorgaben im Anhang der jeweiligen Eignungsbeurteilung. Bei kleineren Projekten ist jede Kontrollprüfung mindestens</w:t>
      </w:r>
      <w:r w:rsidR="008E310D">
        <w:t xml:space="preserve"> </w:t>
      </w:r>
      <w:r w:rsidRPr="002E73E5">
        <w:t xml:space="preserve">einmal durchzuführen. </w:t>
      </w:r>
    </w:p>
    <w:p w14:paraId="667337FA" w14:textId="77777777" w:rsidR="002E73E5" w:rsidRPr="002E73E5" w:rsidRDefault="002E73E5" w:rsidP="002E73E5">
      <w:pPr>
        <w:spacing w:line="360" w:lineRule="atLeast"/>
      </w:pPr>
      <w:r w:rsidRPr="002E73E5">
        <w:lastRenderedPageBreak/>
        <w:t>Bei der Bestimmung der Verbundfestigkeit nach DIN EN ISO 13462-2 kann die Zugscherfestigkeit (Prüfung A - Zugscherprüfung) und/oder die Schälfestigkeit (Prüfung B -Schälprüfung) ermittelt werden. In den Eignungsbeurteilungen ist teilweise die Verbundfestigkeit nach DIN EN ISO 13462-2 auch nach dem Verfahren A vorgesehen.</w:t>
      </w:r>
    </w:p>
    <w:p w14:paraId="667337FB" w14:textId="77777777" w:rsidR="002E73E5" w:rsidRPr="002E73E5" w:rsidRDefault="002E73E5" w:rsidP="002E73E5">
      <w:pPr>
        <w:spacing w:line="360" w:lineRule="atLeast"/>
      </w:pPr>
      <w:r w:rsidRPr="002E73E5">
        <w:t>Das genannte Prüfraster ist eine Mindestvorgabe. Bei Lieferungen aus nicht zusammenhängenden Produktionseinheiten kann sich die Anzahl der Kontrollprüfungen erhöhen.</w:t>
      </w:r>
    </w:p>
    <w:p w14:paraId="667337FC" w14:textId="77777777" w:rsidR="00235D8B" w:rsidRDefault="00235D8B" w:rsidP="00235D8B">
      <w:pPr>
        <w:spacing w:line="360" w:lineRule="atLeast"/>
      </w:pPr>
      <w:r w:rsidRPr="00A50357">
        <w:t>Die Proben für die Kontrollprüfungen werden vom Fremdprüfer auf der Baustelle entnommen.</w:t>
      </w:r>
      <w:r w:rsidR="00F227A6">
        <w:t xml:space="preserve"> </w:t>
      </w:r>
      <w:r w:rsidR="00EC4718">
        <w:t>Die K</w:t>
      </w:r>
      <w:r w:rsidR="00864ECD">
        <w:t>ontrollprüfungen müssen in einem</w:t>
      </w:r>
      <w:r w:rsidR="00EC4718">
        <w:t xml:space="preserve"> nach DIN 17025 akkreditierten Prüflabor durchgeführt werden</w:t>
      </w:r>
      <w:r w:rsidR="00864ECD">
        <w:t>, dass für die o.g. Versuche akkreditiert.</w:t>
      </w:r>
    </w:p>
    <w:p w14:paraId="667337FD" w14:textId="77777777" w:rsidR="002E73E5" w:rsidRDefault="002E73E5" w:rsidP="00235D8B">
      <w:pPr>
        <w:spacing w:line="360" w:lineRule="atLeast"/>
      </w:pPr>
    </w:p>
    <w:p w14:paraId="667337FE" w14:textId="77777777" w:rsidR="00AC45AF" w:rsidRDefault="00AC45AF" w:rsidP="00252FB2">
      <w:pPr>
        <w:pStyle w:val="berschrift2"/>
      </w:pPr>
      <w:bookmarkStart w:id="9" w:name="_Toc2861889"/>
      <w:r>
        <w:t>Baubegleitende Prüfungen</w:t>
      </w:r>
      <w:bookmarkEnd w:id="9"/>
      <w:r w:rsidR="00864ECD">
        <w:t xml:space="preserve"> GTD</w:t>
      </w:r>
    </w:p>
    <w:p w14:paraId="667337FF" w14:textId="77777777" w:rsidR="00864ECD" w:rsidRPr="00A50357" w:rsidRDefault="00864ECD" w:rsidP="00864ECD">
      <w:pPr>
        <w:pStyle w:val="berschrift3"/>
      </w:pPr>
      <w:bookmarkStart w:id="10" w:name="_Toc330398928"/>
      <w:bookmarkStart w:id="11" w:name="_Toc387926550"/>
      <w:r w:rsidRPr="00A50357">
        <w:t>Liefern und Lagern</w:t>
      </w:r>
      <w:bookmarkEnd w:id="10"/>
      <w:r>
        <w:t xml:space="preserve"> GTD</w:t>
      </w:r>
      <w:bookmarkEnd w:id="11"/>
    </w:p>
    <w:p w14:paraId="66733800" w14:textId="77777777" w:rsidR="00864ECD" w:rsidRPr="00A50357" w:rsidRDefault="00864ECD" w:rsidP="00864ECD">
      <w:pPr>
        <w:pStyle w:val="StAbsatz"/>
        <w:ind w:left="0"/>
      </w:pPr>
      <w:r w:rsidRPr="00A50357">
        <w:t>Die GTD sind in einer Liefereinheit oder in Liefermengen von mindestens 5.000 m² zu liefern. Die Liefermengen müssen aus zusammenhängenden Produktionseinheiten stammen.</w:t>
      </w:r>
    </w:p>
    <w:p w14:paraId="66733801" w14:textId="77777777" w:rsidR="00864ECD" w:rsidRPr="00A50357" w:rsidRDefault="00864ECD" w:rsidP="00864ECD">
      <w:pPr>
        <w:pStyle w:val="StAbsatz"/>
        <w:ind w:left="0"/>
      </w:pPr>
      <w:r w:rsidRPr="00A50357">
        <w:t>Die GTD (Rollen) werden ausschließlich nach den Vorschriften des Herstellers der GTD (Anhang zur Eignungsbeurteilung) geliefert und gelagert. Dies ist durch die Eigenkontrolle des Verlegers sicherzustellen.</w:t>
      </w:r>
      <w:r w:rsidR="003A7E12" w:rsidRPr="003A7E12">
        <w:t xml:space="preserve"> </w:t>
      </w:r>
      <w:r w:rsidR="003A7E12">
        <w:t>Der Untergrund des Lagerplatzes hat trocken und eben zu sein und bei Regen oder Grundwasseranstieg trocken zu bleiben. Die gelagerten Rollen sind mit einer wetterfesten und UV-stabilen Plane (Schutzfolie) zu bedecken.</w:t>
      </w:r>
    </w:p>
    <w:p w14:paraId="66733802" w14:textId="77777777" w:rsidR="00864ECD" w:rsidRDefault="00864ECD" w:rsidP="00864ECD">
      <w:pPr>
        <w:pStyle w:val="StAbsatz"/>
        <w:ind w:left="0"/>
      </w:pPr>
      <w:r w:rsidRPr="00A50357">
        <w:t>Der Fremdprüfer prüft bei oder nach Lieferung die Kennzeichnung der GTD (Rollen), den Anlieferungszustand und die fachgerechte Lagerung.</w:t>
      </w:r>
    </w:p>
    <w:p w14:paraId="66733803" w14:textId="77777777" w:rsidR="00864ECD" w:rsidRDefault="00864ECD" w:rsidP="00864ECD">
      <w:pPr>
        <w:pStyle w:val="StAbsatz"/>
        <w:ind w:left="0"/>
      </w:pPr>
    </w:p>
    <w:p w14:paraId="66733804" w14:textId="77777777" w:rsidR="00864ECD" w:rsidRPr="00A50357" w:rsidRDefault="00864ECD" w:rsidP="00864ECD">
      <w:pPr>
        <w:pStyle w:val="berschrift3"/>
      </w:pPr>
      <w:bookmarkStart w:id="12" w:name="_Toc330398929"/>
      <w:bookmarkStart w:id="13" w:name="_Toc387926551"/>
      <w:r>
        <w:t xml:space="preserve">Auflager </w:t>
      </w:r>
      <w:r w:rsidRPr="00A50357">
        <w:t>GTD</w:t>
      </w:r>
      <w:bookmarkEnd w:id="12"/>
      <w:bookmarkEnd w:id="13"/>
    </w:p>
    <w:p w14:paraId="66733805" w14:textId="77777777" w:rsidR="00D6198E" w:rsidRDefault="00864ECD" w:rsidP="00A92865">
      <w:pPr>
        <w:pStyle w:val="StAbsatz"/>
        <w:ind w:left="0"/>
      </w:pPr>
      <w:r>
        <w:t xml:space="preserve">Die Auflagerfläche muss gemäß den jeweiligen Vorgaben verdichtet, eben und frei von scharfkantigen Gegenständen oder schädlichen Stoffen sowie von Oberflächenwasser und Eis sein. Die Körnung des Auflagers muss den </w:t>
      </w:r>
      <w:r w:rsidR="00A7479E" w:rsidRPr="00C55491">
        <w:t xml:space="preserve">Anforderungen der </w:t>
      </w:r>
      <w:r w:rsidR="00A7479E" w:rsidRPr="00BE48BB">
        <w:t xml:space="preserve">LAGA Ad-hoc-AG „Deponietechnik“ </w:t>
      </w:r>
      <w:r w:rsidR="00A7479E" w:rsidRPr="00C55491">
        <w:t>„</w:t>
      </w:r>
      <w:r w:rsidR="00A7479E">
        <w:t>Bundeseinheitlicher Qualitätsstandard 5-5 Oberflächenabdichtungs-komponenten aus geosynthetischen Tondichtungsbahnen</w:t>
      </w:r>
      <w:r w:rsidR="00A7479E" w:rsidRPr="00C55491">
        <w:t>“</w:t>
      </w:r>
      <w:r w:rsidR="00A7479E">
        <w:t xml:space="preserve"> entsprechen</w:t>
      </w:r>
      <w:r>
        <w:t xml:space="preserve">. </w:t>
      </w:r>
    </w:p>
    <w:p w14:paraId="66733806" w14:textId="77777777" w:rsidR="00D6198E" w:rsidRPr="00D6198E" w:rsidRDefault="00D6198E" w:rsidP="00933FF4">
      <w:pPr>
        <w:pStyle w:val="StAbsatz"/>
        <w:spacing w:after="0"/>
        <w:ind w:left="0"/>
      </w:pPr>
      <w:r>
        <w:t>Gemäß o.g. Regelwerk gilt:</w:t>
      </w:r>
    </w:p>
    <w:p w14:paraId="66733807" w14:textId="77777777" w:rsidR="00A7479E" w:rsidRDefault="00A7479E" w:rsidP="00A7479E">
      <w:pPr>
        <w:pStyle w:val="StAbsatz"/>
        <w:numPr>
          <w:ilvl w:val="0"/>
          <w:numId w:val="33"/>
        </w:numPr>
      </w:pPr>
      <w:r>
        <w:lastRenderedPageBreak/>
        <w:t>Die Oberfläche der Trag- und Ausgleichsschicht muss frei sein von scharfkantigen oder spitzen Bestandteilen, die zu einer mechanischen Beschädigung der geosynthetischen Tondichtungsbahnen führen können.</w:t>
      </w:r>
    </w:p>
    <w:p w14:paraId="66733808" w14:textId="77777777" w:rsidR="00A7479E" w:rsidRPr="00A7479E" w:rsidRDefault="00A7479E" w:rsidP="00A7479E">
      <w:pPr>
        <w:pStyle w:val="StAbsatz"/>
        <w:numPr>
          <w:ilvl w:val="0"/>
          <w:numId w:val="33"/>
        </w:numPr>
      </w:pPr>
      <w:r>
        <w:t>Die Verdichtung muss so erfolgen, dass bei der Verlegung durch Baustellenfahr</w:t>
      </w:r>
      <w:r w:rsidRPr="00A7479E">
        <w:t>zeuge keine Spurrillen mit ≥ 5 cm und keine Sprünge durch z. B. Walzkanten mit ≥ 2 cm entstehen. Hierfür ist ein Nachweis im Probefeld erforderlich.</w:t>
      </w:r>
    </w:p>
    <w:p w14:paraId="66733809" w14:textId="77777777" w:rsidR="00A7479E" w:rsidRDefault="00A7479E" w:rsidP="00A7479E">
      <w:pPr>
        <w:pStyle w:val="StAbsatz"/>
        <w:numPr>
          <w:ilvl w:val="0"/>
          <w:numId w:val="33"/>
        </w:numPr>
      </w:pPr>
      <w:r>
        <w:t xml:space="preserve">Zur Minimierung eines Wasserdampftransports nach unten soll für die oberen 30 cm </w:t>
      </w:r>
      <w:r w:rsidRPr="00A7479E">
        <w:t>der Trag- und Ausgleichschicht weitgestuftes Material (Ungleichförmigkeit U ≥ 6,</w:t>
      </w:r>
      <w:r>
        <w:t xml:space="preserve"> Krümmungszahl Cc 1 bis 3) im Körnungsbereich von 0 bis 20 mm eingesetzt werden. Der Feinkornanteil (Schluff und Ton) soll nicht mehr als 20 Masse-% betragen. Ein Überkorn bis 32 mm ist zulässig, wenn dieses schwimmend eingebettet ist. Nicht weitgestuftes Material kann eingesetzt und / oder die Dicke auf 15 cm reduziert werden, wenn aufgrund der Abfalleigenschaften ein Wasserdampftransport aus der GTD nach unten ausgeschlossen werden kann.</w:t>
      </w:r>
    </w:p>
    <w:p w14:paraId="6673380A" w14:textId="77777777" w:rsidR="00A7479E" w:rsidRDefault="00A7479E" w:rsidP="00A7479E">
      <w:pPr>
        <w:pStyle w:val="StAbsatz"/>
        <w:numPr>
          <w:ilvl w:val="0"/>
          <w:numId w:val="33"/>
        </w:numPr>
      </w:pPr>
      <w:r>
        <w:t>Eine ggf. erforderliche Gasdränage ist unterhalb der Trag- und Ausgleichsschicht bzw. als unterer Teil der Trag- und Ausgleichsschicht anzuordnen</w:t>
      </w:r>
    </w:p>
    <w:p w14:paraId="6673380B" w14:textId="34632927" w:rsidR="00864ECD" w:rsidRDefault="00A92865" w:rsidP="00A7479E">
      <w:pPr>
        <w:pStyle w:val="StAbsatz"/>
        <w:ind w:left="0"/>
      </w:pPr>
      <w:r>
        <w:t>Das Auflager GTD</w:t>
      </w:r>
      <w:r w:rsidR="00864ECD" w:rsidRPr="00A50357">
        <w:t xml:space="preserve"> wird im Rahmen der Eigenkontrolle und vom Fremdprüfer durchgängig geprüft und vom Fremdprüfer in Teilflächen zum Einbau der GTD freigegeben. Dies</w:t>
      </w:r>
      <w:r w:rsidR="00864ECD">
        <w:t>e</w:t>
      </w:r>
      <w:r w:rsidR="00864ECD" w:rsidRPr="00A50357">
        <w:t xml:space="preserve"> Teilfreigaben werden in den Inspektionsberichten der Fremdprüfung dokumentiert.</w:t>
      </w:r>
    </w:p>
    <w:p w14:paraId="4D58EA34" w14:textId="14C0299E" w:rsidR="00913883" w:rsidRPr="00A50357" w:rsidRDefault="00913883" w:rsidP="00913883">
      <w:pPr>
        <w:pStyle w:val="berschrift3"/>
      </w:pPr>
      <w:r>
        <w:t>Entwässerungsschicht oberhalb der GTD</w:t>
      </w:r>
    </w:p>
    <w:p w14:paraId="426B8636" w14:textId="77777777" w:rsidR="00913883" w:rsidRDefault="00913883" w:rsidP="00913883">
      <w:pPr>
        <w:pStyle w:val="StAbsatz"/>
        <w:numPr>
          <w:ilvl w:val="0"/>
          <w:numId w:val="33"/>
        </w:numPr>
      </w:pPr>
      <w:r>
        <w:t>Mineralische Entwässerungsschicht:</w:t>
      </w:r>
    </w:p>
    <w:p w14:paraId="3208AB5F" w14:textId="15E61A3C" w:rsidR="00913883" w:rsidRDefault="00913883" w:rsidP="00913883">
      <w:pPr>
        <w:pStyle w:val="StAbsatz"/>
        <w:numPr>
          <w:ilvl w:val="0"/>
          <w:numId w:val="33"/>
        </w:numPr>
      </w:pPr>
      <w:r>
        <w:t>Größtkorn auf 8 mm beschränkt (10 Gew.-% Überkorn bis 16 mm zulässig</w:t>
      </w:r>
    </w:p>
    <w:p w14:paraId="11A3289E" w14:textId="590866B6" w:rsidR="00913883" w:rsidRDefault="00913883" w:rsidP="00913883">
      <w:pPr>
        <w:pStyle w:val="StAbsatz"/>
        <w:numPr>
          <w:ilvl w:val="0"/>
          <w:numId w:val="33"/>
        </w:numPr>
      </w:pPr>
      <w:r>
        <w:t>Geotextile Entwässerungsschichten (Dränmatten) mit Zulassung der Bundesanstalt für Materialforschung und -prüfung (BAM)</w:t>
      </w:r>
    </w:p>
    <w:p w14:paraId="5B2E7FA1" w14:textId="23A391E6" w:rsidR="00913883" w:rsidRPr="00A7479E" w:rsidRDefault="00913883" w:rsidP="00913883">
      <w:pPr>
        <w:pStyle w:val="StAbsatz"/>
        <w:numPr>
          <w:ilvl w:val="0"/>
          <w:numId w:val="33"/>
        </w:numPr>
      </w:pPr>
      <w:r>
        <w:t>Anordnung einer mindestens 10 cm dicken Sandschicht (SE, SW, SU) als untere Lage der Entwässerungsschicht zur Erhöhung des Schutzes gegen Austrocknen der GTD</w:t>
      </w:r>
    </w:p>
    <w:p w14:paraId="6673380C" w14:textId="77777777" w:rsidR="00864ECD" w:rsidRDefault="00864ECD" w:rsidP="00A7479E">
      <w:pPr>
        <w:pStyle w:val="StAbsatz"/>
        <w:ind w:left="0"/>
      </w:pPr>
    </w:p>
    <w:p w14:paraId="6673380D" w14:textId="77777777" w:rsidR="00933FF4" w:rsidRDefault="00933FF4" w:rsidP="00933FF4">
      <w:pPr>
        <w:pStyle w:val="berschrift3"/>
      </w:pPr>
      <w:bookmarkStart w:id="14" w:name="_Toc330398930"/>
      <w:bookmarkStart w:id="15" w:name="_Toc387926552"/>
      <w:r>
        <w:lastRenderedPageBreak/>
        <w:t xml:space="preserve">Verlegen </w:t>
      </w:r>
      <w:bookmarkEnd w:id="14"/>
      <w:r>
        <w:t>GTD</w:t>
      </w:r>
      <w:bookmarkEnd w:id="15"/>
    </w:p>
    <w:p w14:paraId="6673380E" w14:textId="77777777" w:rsidR="00933FF4" w:rsidRPr="00A50357" w:rsidRDefault="00933FF4" w:rsidP="00933FF4">
      <w:pPr>
        <w:pStyle w:val="StAbsatz"/>
        <w:ind w:left="0"/>
      </w:pPr>
      <w:r w:rsidRPr="00A50357">
        <w:t>Die GTD werden ausschließlich nach den Einbauvorschriften des Herstellers der GTD (Anhang zur Eignungsbeurteilung) durch einen Fachverleger eingebaut. Der Fachverleger ist nachweislich vom Hersteller der GTD entsprechend eingewiesen. Er muss den Anforderungen der “BAM-Richtlinie Fachbetriebe“ entsprechen.</w:t>
      </w:r>
    </w:p>
    <w:p w14:paraId="6673380F" w14:textId="77777777" w:rsidR="00933FF4" w:rsidRPr="00A50357" w:rsidRDefault="00933FF4" w:rsidP="00933FF4">
      <w:pPr>
        <w:pStyle w:val="StAbsatz"/>
        <w:ind w:left="0"/>
      </w:pPr>
      <w:r w:rsidRPr="00A50357">
        <w:t>Für den Einbau der GTD wird vom Fachverleger ein Verlegeplan vorgelegt, in dem die Verlegerichtung und alle konstruktiven Einzelheiten festgelegt sind.</w:t>
      </w:r>
    </w:p>
    <w:p w14:paraId="66733810" w14:textId="77777777" w:rsidR="00933FF4" w:rsidRPr="00A50357" w:rsidRDefault="00933FF4" w:rsidP="00933FF4">
      <w:pPr>
        <w:pStyle w:val="StAbsatz"/>
        <w:ind w:left="0"/>
      </w:pPr>
      <w:r w:rsidRPr="00A50357">
        <w:t>Der Verlegeplan wird vor Beginn der Arbeiten erstellt und mit allen Beteiligten abgestimmt. Nachträgliche Änderungen müssen mit der Fremdprüfung und der behördlichen Überwachung abgestimmt werden.</w:t>
      </w:r>
    </w:p>
    <w:p w14:paraId="66733811" w14:textId="77777777" w:rsidR="00933FF4" w:rsidRPr="00A50357" w:rsidRDefault="00933FF4" w:rsidP="00933FF4">
      <w:pPr>
        <w:pStyle w:val="StAbsatz"/>
        <w:ind w:left="0"/>
      </w:pPr>
      <w:r w:rsidRPr="00A50357">
        <w:t>Die GTD dürfen nur bei trockener Witterung und nur auf einer weitgehend trockenen Stützschicht (erdfeucht) verlegt werden.</w:t>
      </w:r>
    </w:p>
    <w:p w14:paraId="66733812" w14:textId="77777777" w:rsidR="00933FF4" w:rsidRPr="00A50357" w:rsidRDefault="00933FF4" w:rsidP="00933FF4">
      <w:pPr>
        <w:pStyle w:val="StAbsatz"/>
        <w:ind w:left="0"/>
      </w:pPr>
      <w:r w:rsidRPr="00A50357">
        <w:t>Das Verlegen der GTD erfolgt nach den Vorsc</w:t>
      </w:r>
      <w:r>
        <w:t>hriften des Herstellers der GTD</w:t>
      </w:r>
      <w:r w:rsidRPr="00A50357">
        <w:t xml:space="preserve"> mit geeignetem Gerät (z.B. Hebetraverse) zum kontrollierten Abrollen </w:t>
      </w:r>
      <w:r>
        <w:t xml:space="preserve">der GTD. </w:t>
      </w:r>
      <w:r w:rsidRPr="00A50357">
        <w:t>Beim Ausrollen werden die GTD durch den Verleger und den Fremdprüfer auf äußere Beschaffenheit, Kantengeradheit, Planlage und mechanische Beschädigungen kontrolliert.</w:t>
      </w:r>
    </w:p>
    <w:p w14:paraId="66733813" w14:textId="77777777" w:rsidR="00933FF4" w:rsidRPr="00A50357" w:rsidRDefault="00933FF4" w:rsidP="00933FF4">
      <w:pPr>
        <w:pStyle w:val="StAbsatz"/>
        <w:ind w:left="0"/>
      </w:pPr>
      <w:r w:rsidRPr="00A50357">
        <w:t>Werden an einer GTD Fertigungsmängel oder mechanische Beschädigungen in</w:t>
      </w:r>
      <w:r>
        <w:t xml:space="preserve"> </w:t>
      </w:r>
      <w:r w:rsidRPr="00A50357">
        <w:t xml:space="preserve">größerem Umfang festgestellt, wird diese GTD zurückgebaut. </w:t>
      </w:r>
    </w:p>
    <w:p w14:paraId="66733814" w14:textId="77777777" w:rsidR="003A7E12" w:rsidRDefault="00933FF4" w:rsidP="00933FF4">
      <w:pPr>
        <w:pStyle w:val="StAbsatz"/>
        <w:ind w:left="0"/>
      </w:pPr>
      <w:r w:rsidRPr="00A50357">
        <w:t>Die GTD werden mit der in den Einbauvorschriften des Herstellers vorgegebenen Überlappung ausgerollt. Das Herstellen der Stöße erfolgt ausschließlich nach den Vorgaben des Herstellers der GTD.</w:t>
      </w:r>
      <w:r w:rsidR="003A7E12" w:rsidRPr="003A7E12">
        <w:t xml:space="preserve"> </w:t>
      </w:r>
      <w:r w:rsidR="003A7E12">
        <w:t>Die Überlappungsbereiche sind durch den Fremdprüfer zu kontrollieren.</w:t>
      </w:r>
    </w:p>
    <w:p w14:paraId="66733815" w14:textId="77777777" w:rsidR="00933FF4" w:rsidRPr="00A50357" w:rsidRDefault="00933FF4" w:rsidP="00856B1B">
      <w:pPr>
        <w:pStyle w:val="StAbsatz"/>
        <w:ind w:left="0"/>
      </w:pPr>
      <w:r w:rsidRPr="00A50357">
        <w:t>Die GTD sind bis zur Überdeckung mit den Dichtungsbahnen vor Nässe und Durchfeuchtung zu schützen. Durchfeuchtete GTD mit Wassergehalt &gt; 50 % müssen ausgetauscht werden.</w:t>
      </w:r>
      <w:r w:rsidRPr="00F322F1">
        <w:t xml:space="preserve"> </w:t>
      </w:r>
      <w:r w:rsidRPr="00A50357">
        <w:t>GTD, an denen beim Ausrollen Fertigungsmängel festgestellt werden, werden durch neue GTD ersetzt. Das gi</w:t>
      </w:r>
      <w:r>
        <w:t xml:space="preserve">lt auch für durchfeuchtete GTD. </w:t>
      </w:r>
      <w:r w:rsidR="00856B1B">
        <w:t>Lokal begrenzte Bereiche mit mechanischen Beschädigungen werden in Abstimmung mit der Fremdprüfung herausgeschnitten und durch entsprechende Zuschnitte ersetzt.</w:t>
      </w:r>
      <w:r w:rsidR="00856B1B" w:rsidRPr="00856B1B">
        <w:t xml:space="preserve"> </w:t>
      </w:r>
      <w:r w:rsidR="00856B1B">
        <w:t>Freiliegende Bereiche sind bei Arbeitsunterbrechungen (&gt; 24 Stunden) und/oder unsicherer Wetterlage (Regen etc.) z.B. mit Baufolie zu schützen.</w:t>
      </w:r>
    </w:p>
    <w:p w14:paraId="66733816" w14:textId="77777777" w:rsidR="00933FF4" w:rsidRPr="00A50357" w:rsidRDefault="00933FF4" w:rsidP="00933FF4">
      <w:pPr>
        <w:pStyle w:val="StAbsatz"/>
        <w:ind w:left="0"/>
      </w:pPr>
      <w:r w:rsidRPr="00A50357">
        <w:t>Ein direktes Befahren der GTD mit Fahrzeugen und Baugeräten ist nicht zulässig.</w:t>
      </w:r>
    </w:p>
    <w:p w14:paraId="66733817" w14:textId="77777777" w:rsidR="00933FF4" w:rsidRPr="00A50357" w:rsidRDefault="00933FF4" w:rsidP="00933FF4">
      <w:pPr>
        <w:pStyle w:val="StAbsatz"/>
        <w:ind w:left="0"/>
      </w:pPr>
      <w:r w:rsidRPr="00A50357">
        <w:lastRenderedPageBreak/>
        <w:t>Die konstruktiven Einzelheiten werden entsprechend den genehmigten Ausführungsplänen unter Berücksichtigung der Einbauvorschriften des Herstellers ausgeführt. Änderungen sind mit der örtlichen Bauüberwachung und dem Fremdprüfer vor Ausführung abzustimmen.</w:t>
      </w:r>
    </w:p>
    <w:p w14:paraId="66733818" w14:textId="77777777" w:rsidR="00933FF4" w:rsidRPr="00A50357" w:rsidRDefault="00933FF4" w:rsidP="00933FF4">
      <w:pPr>
        <w:pStyle w:val="StAbsatz"/>
        <w:ind w:left="0"/>
      </w:pPr>
      <w:r w:rsidRPr="00A50357">
        <w:t>Die Ausführung wird durch den Fremdprüfer im Rahmen der Baustellentermine geprüft.</w:t>
      </w:r>
    </w:p>
    <w:p w14:paraId="66733819" w14:textId="77777777" w:rsidR="00933FF4" w:rsidRPr="00A50357" w:rsidRDefault="00933FF4" w:rsidP="00933FF4">
      <w:pPr>
        <w:pStyle w:val="StAbsatz"/>
        <w:ind w:left="0"/>
      </w:pPr>
      <w:r w:rsidRPr="00A50357">
        <w:t>Vor Einbau der Kunststoffdichtungsbahnen werden die GTD einschließlich aller konstruktiven Einzelheiten in Teilflächen durch den Fremdprüfer fachtechnisch geprüft und freigegeben.</w:t>
      </w:r>
    </w:p>
    <w:p w14:paraId="6673381A" w14:textId="77777777" w:rsidR="00933FF4" w:rsidRPr="00A50357" w:rsidRDefault="00933FF4" w:rsidP="00933FF4">
      <w:pPr>
        <w:pStyle w:val="StAbsatz"/>
        <w:ind w:left="0"/>
      </w:pPr>
      <w:r w:rsidRPr="00A50357">
        <w:t>Die Teilfreigaben werden in den Baustellenberichten des Fremdprüfers dokumentiert.</w:t>
      </w:r>
    </w:p>
    <w:p w14:paraId="6673381B" w14:textId="77777777" w:rsidR="00933FF4" w:rsidRDefault="00933FF4" w:rsidP="00933FF4">
      <w:pPr>
        <w:pStyle w:val="StAbsatz"/>
        <w:ind w:left="0"/>
      </w:pPr>
      <w:r w:rsidRPr="00A50357">
        <w:t>Die Teilfreigabe erfolgt fortlaufend in jedem Fall arbeitstäglich, da</w:t>
      </w:r>
      <w:r>
        <w:t xml:space="preserve">mit die nachfolgenden Schichten </w:t>
      </w:r>
      <w:r w:rsidRPr="00A50357">
        <w:t>sofort aufgebracht werden können.</w:t>
      </w:r>
    </w:p>
    <w:p w14:paraId="6673381C" w14:textId="77777777" w:rsidR="009F60C9" w:rsidRDefault="009F60C9" w:rsidP="00933FF4">
      <w:pPr>
        <w:pStyle w:val="StAbsatz"/>
        <w:ind w:left="0"/>
      </w:pPr>
      <w:r w:rsidRPr="009F60C9">
        <w:t>Die verlegten GTD werden durch den Fachverleger in einem Verlegpla</w:t>
      </w:r>
      <w:r w:rsidR="00142754">
        <w:t>n dokumen</w:t>
      </w:r>
      <w:r w:rsidRPr="009F60C9">
        <w:t>tiert, welcher arbeitstäglich fortgeschrieben wird. Die endgültigen Bestandspläne mit Verlegelisten müssen spätestens 14 Tage nach Abschluss der Arbeiten dem Fremdprüfer übergeben werden. Diese Bestandspläne werden Teil des Inspektionsberichts.</w:t>
      </w:r>
    </w:p>
    <w:p w14:paraId="6673381D" w14:textId="77777777" w:rsidR="002E73E5" w:rsidRDefault="002E73E5" w:rsidP="00933FF4">
      <w:pPr>
        <w:pStyle w:val="StAbsatz"/>
        <w:ind w:left="0"/>
      </w:pPr>
    </w:p>
    <w:p w14:paraId="6673381E" w14:textId="77777777" w:rsidR="009F60C9" w:rsidRPr="0039461D" w:rsidRDefault="009F60C9" w:rsidP="009F60C9">
      <w:pPr>
        <w:pStyle w:val="berschrift3"/>
      </w:pPr>
      <w:bookmarkStart w:id="16" w:name="_Toc330398931"/>
      <w:bookmarkStart w:id="17" w:name="_Toc387926553"/>
      <w:r w:rsidRPr="0039461D">
        <w:t>Einbau der nachfolgenden Schichten</w:t>
      </w:r>
      <w:bookmarkEnd w:id="16"/>
      <w:bookmarkEnd w:id="17"/>
    </w:p>
    <w:p w14:paraId="6673381F" w14:textId="77777777" w:rsidR="009F60C9" w:rsidRDefault="009F60C9" w:rsidP="009F60C9">
      <w:pPr>
        <w:suppressAutoHyphens/>
        <w:overflowPunct w:val="0"/>
        <w:autoSpaceDE w:val="0"/>
        <w:spacing w:after="220" w:line="360" w:lineRule="auto"/>
        <w:textAlignment w:val="baseline"/>
        <w:rPr>
          <w:rFonts w:cs="Times New Roman"/>
          <w:szCs w:val="20"/>
          <w:lang w:eastAsia="ar-SA"/>
        </w:rPr>
      </w:pPr>
      <w:r w:rsidRPr="0039461D">
        <w:rPr>
          <w:rFonts w:cs="Times New Roman"/>
          <w:szCs w:val="20"/>
          <w:lang w:eastAsia="ar-SA"/>
        </w:rPr>
        <w:t xml:space="preserve">Die Oberfläche der geosynthetischen Tondichtungsbahn </w:t>
      </w:r>
      <w:r>
        <w:rPr>
          <w:rFonts w:cs="Times New Roman"/>
          <w:szCs w:val="20"/>
          <w:lang w:eastAsia="ar-SA"/>
        </w:rPr>
        <w:t>muss für den Einbau der nachfol</w:t>
      </w:r>
      <w:r w:rsidRPr="0039461D">
        <w:rPr>
          <w:rFonts w:cs="Times New Roman"/>
          <w:szCs w:val="20"/>
          <w:lang w:eastAsia="ar-SA"/>
        </w:rPr>
        <w:t>genden Schichten frei von Fremdstoffen sein.</w:t>
      </w:r>
    </w:p>
    <w:p w14:paraId="66733820" w14:textId="77777777" w:rsidR="008500B6" w:rsidRPr="008500B6" w:rsidRDefault="008500B6" w:rsidP="008500B6">
      <w:pPr>
        <w:suppressAutoHyphens/>
        <w:overflowPunct w:val="0"/>
        <w:autoSpaceDE w:val="0"/>
        <w:spacing w:after="220" w:line="360" w:lineRule="auto"/>
        <w:textAlignment w:val="baseline"/>
        <w:rPr>
          <w:rFonts w:cs="Times New Roman"/>
          <w:szCs w:val="20"/>
          <w:lang w:eastAsia="ar-SA"/>
        </w:rPr>
      </w:pPr>
      <w:r w:rsidRPr="008500B6">
        <w:rPr>
          <w:rFonts w:cs="Times New Roman"/>
          <w:szCs w:val="20"/>
          <w:lang w:eastAsia="ar-SA"/>
        </w:rPr>
        <w:t>Die geosynthetischen Tondichtungsbahnen sind mö</w:t>
      </w:r>
      <w:r>
        <w:rPr>
          <w:rFonts w:cs="Times New Roman"/>
          <w:szCs w:val="20"/>
          <w:lang w:eastAsia="ar-SA"/>
        </w:rPr>
        <w:t xml:space="preserve">glichst am gleichen Tag mit den </w:t>
      </w:r>
      <w:r w:rsidRPr="008500B6">
        <w:rPr>
          <w:rFonts w:cs="Times New Roman"/>
          <w:szCs w:val="20"/>
          <w:lang w:eastAsia="ar-SA"/>
        </w:rPr>
        <w:t>Kunststoffdichtungsbahnen, den Kunststoff-Dränelementen / Schu</w:t>
      </w:r>
      <w:r>
        <w:rPr>
          <w:rFonts w:cs="Times New Roman"/>
          <w:szCs w:val="20"/>
          <w:lang w:eastAsia="ar-SA"/>
        </w:rPr>
        <w:t xml:space="preserve">tzvliesen und der mineralischen </w:t>
      </w:r>
      <w:r w:rsidRPr="008500B6">
        <w:rPr>
          <w:rFonts w:cs="Times New Roman"/>
          <w:szCs w:val="20"/>
          <w:lang w:eastAsia="ar-SA"/>
        </w:rPr>
        <w:t>Schicht zu überbauen. Die Dicke der ersten Lag</w:t>
      </w:r>
      <w:r>
        <w:rPr>
          <w:rFonts w:cs="Times New Roman"/>
          <w:szCs w:val="20"/>
          <w:lang w:eastAsia="ar-SA"/>
        </w:rPr>
        <w:t xml:space="preserve">e der mineralischen Schicht ist </w:t>
      </w:r>
      <w:r w:rsidRPr="008500B6">
        <w:rPr>
          <w:rFonts w:cs="Times New Roman"/>
          <w:szCs w:val="20"/>
          <w:lang w:eastAsia="ar-SA"/>
        </w:rPr>
        <w:t>so zu wählen, dass bei Quellbeginn des Bentonit eine</w:t>
      </w:r>
      <w:r>
        <w:rPr>
          <w:rFonts w:cs="Times New Roman"/>
          <w:szCs w:val="20"/>
          <w:lang w:eastAsia="ar-SA"/>
        </w:rPr>
        <w:t xml:space="preserve"> ausreichende Auflast vorhanden </w:t>
      </w:r>
      <w:r w:rsidRPr="008500B6">
        <w:rPr>
          <w:rFonts w:cs="Times New Roman"/>
          <w:szCs w:val="20"/>
          <w:lang w:eastAsia="ar-SA"/>
        </w:rPr>
        <w:t>ist.</w:t>
      </w:r>
    </w:p>
    <w:p w14:paraId="66733821" w14:textId="77777777" w:rsidR="008500B6" w:rsidRPr="008500B6" w:rsidRDefault="008500B6" w:rsidP="008500B6">
      <w:pPr>
        <w:suppressAutoHyphens/>
        <w:overflowPunct w:val="0"/>
        <w:autoSpaceDE w:val="0"/>
        <w:spacing w:line="360" w:lineRule="auto"/>
        <w:textAlignment w:val="baseline"/>
        <w:rPr>
          <w:rFonts w:cs="Times New Roman"/>
          <w:b/>
          <w:szCs w:val="20"/>
          <w:lang w:eastAsia="ar-SA"/>
        </w:rPr>
      </w:pPr>
      <w:r w:rsidRPr="008500B6">
        <w:rPr>
          <w:rFonts w:cs="Times New Roman"/>
          <w:b/>
          <w:szCs w:val="20"/>
          <w:lang w:eastAsia="ar-SA"/>
        </w:rPr>
        <w:t>Hinweis:</w:t>
      </w:r>
    </w:p>
    <w:p w14:paraId="66733822" w14:textId="77777777" w:rsidR="008500B6" w:rsidRPr="0039461D" w:rsidRDefault="008500B6" w:rsidP="008500B6">
      <w:pPr>
        <w:suppressAutoHyphens/>
        <w:overflowPunct w:val="0"/>
        <w:autoSpaceDE w:val="0"/>
        <w:spacing w:after="220" w:line="360" w:lineRule="auto"/>
        <w:textAlignment w:val="baseline"/>
        <w:rPr>
          <w:rFonts w:cs="Times New Roman"/>
          <w:szCs w:val="20"/>
          <w:lang w:eastAsia="ar-SA"/>
        </w:rPr>
      </w:pPr>
      <w:r w:rsidRPr="008500B6">
        <w:rPr>
          <w:rFonts w:cs="Times New Roman"/>
          <w:szCs w:val="20"/>
          <w:lang w:eastAsia="ar-SA"/>
        </w:rPr>
        <w:t>Die zeitlichen Vorgaben zum Überbauen können für verschiedene geo</w:t>
      </w:r>
      <w:r>
        <w:rPr>
          <w:rFonts w:cs="Times New Roman"/>
          <w:szCs w:val="20"/>
          <w:lang w:eastAsia="ar-SA"/>
        </w:rPr>
        <w:t xml:space="preserve">synthetische Tondichtungsbahnen </w:t>
      </w:r>
      <w:r w:rsidRPr="008500B6">
        <w:rPr>
          <w:rFonts w:cs="Times New Roman"/>
          <w:szCs w:val="20"/>
          <w:lang w:eastAsia="ar-SA"/>
        </w:rPr>
        <w:t>unterschiedlich sein. Sie sind in den produkt</w:t>
      </w:r>
      <w:r>
        <w:rPr>
          <w:rFonts w:cs="Times New Roman"/>
          <w:szCs w:val="20"/>
          <w:lang w:eastAsia="ar-SA"/>
        </w:rPr>
        <w:t xml:space="preserve">bezogenen Eignungsbeurteilungen </w:t>
      </w:r>
      <w:r w:rsidRPr="008500B6">
        <w:rPr>
          <w:rFonts w:cs="Times New Roman"/>
          <w:szCs w:val="20"/>
          <w:lang w:eastAsia="ar-SA"/>
        </w:rPr>
        <w:t>festgelegt und sind entsprechend zu berücksic</w:t>
      </w:r>
      <w:r>
        <w:rPr>
          <w:rFonts w:cs="Times New Roman"/>
          <w:szCs w:val="20"/>
          <w:lang w:eastAsia="ar-SA"/>
        </w:rPr>
        <w:t xml:space="preserve">htigen. Erfahrungsgemäß ist bei </w:t>
      </w:r>
      <w:r w:rsidRPr="008500B6">
        <w:rPr>
          <w:rFonts w:cs="Times New Roman"/>
          <w:szCs w:val="20"/>
          <w:lang w:eastAsia="ar-SA"/>
        </w:rPr>
        <w:t>Quellbeginn eine Bo</w:t>
      </w:r>
      <w:r>
        <w:rPr>
          <w:rFonts w:cs="Times New Roman"/>
          <w:szCs w:val="20"/>
          <w:lang w:eastAsia="ar-SA"/>
        </w:rPr>
        <w:t>denauflast mit</w:t>
      </w:r>
      <w:r w:rsidRPr="008500B6">
        <w:rPr>
          <w:rFonts w:cs="Times New Roman"/>
          <w:szCs w:val="20"/>
          <w:lang w:eastAsia="ar-SA"/>
        </w:rPr>
        <w:t xml:space="preserve"> einer Dicke von 0,3 m ausreichend.</w:t>
      </w:r>
    </w:p>
    <w:p w14:paraId="66733823" w14:textId="77777777" w:rsidR="00322C9B" w:rsidRPr="0039461D" w:rsidRDefault="00322C9B" w:rsidP="009F60C9">
      <w:pPr>
        <w:suppressAutoHyphens/>
        <w:overflowPunct w:val="0"/>
        <w:autoSpaceDE w:val="0"/>
        <w:spacing w:after="220" w:line="360" w:lineRule="auto"/>
        <w:textAlignment w:val="baseline"/>
        <w:rPr>
          <w:rFonts w:cs="Times New Roman"/>
          <w:szCs w:val="20"/>
          <w:lang w:eastAsia="ar-SA"/>
        </w:rPr>
      </w:pPr>
      <w:r>
        <w:rPr>
          <w:rFonts w:cs="Times New Roman"/>
          <w:szCs w:val="20"/>
          <w:lang w:eastAsia="ar-SA"/>
        </w:rPr>
        <w:t>Ein offen liegenlassen der GTD ohne Witterungsschutz ist nicht zulässig.</w:t>
      </w:r>
    </w:p>
    <w:p w14:paraId="66733824" w14:textId="77777777" w:rsidR="009F60C9" w:rsidRPr="0039461D" w:rsidRDefault="009F60C9" w:rsidP="009F60C9">
      <w:pPr>
        <w:suppressAutoHyphens/>
        <w:overflowPunct w:val="0"/>
        <w:autoSpaceDE w:val="0"/>
        <w:spacing w:after="220" w:line="360" w:lineRule="auto"/>
        <w:textAlignment w:val="baseline"/>
        <w:rPr>
          <w:rFonts w:cs="Times New Roman"/>
          <w:szCs w:val="20"/>
          <w:lang w:eastAsia="ar-SA"/>
        </w:rPr>
      </w:pPr>
      <w:r w:rsidRPr="0039461D">
        <w:rPr>
          <w:rFonts w:cs="Times New Roman"/>
          <w:szCs w:val="20"/>
          <w:lang w:eastAsia="ar-SA"/>
        </w:rPr>
        <w:lastRenderedPageBreak/>
        <w:t xml:space="preserve">Der Einbau der mineralischen Schichten </w:t>
      </w:r>
      <w:r>
        <w:rPr>
          <w:rFonts w:cs="Times New Roman"/>
          <w:szCs w:val="20"/>
          <w:lang w:eastAsia="ar-SA"/>
        </w:rPr>
        <w:t xml:space="preserve">darf nur erfolgen, wenn </w:t>
      </w:r>
      <w:r w:rsidRPr="0039461D">
        <w:rPr>
          <w:rFonts w:cs="Times New Roman"/>
          <w:szCs w:val="20"/>
          <w:lang w:eastAsia="ar-SA"/>
        </w:rPr>
        <w:t xml:space="preserve">die </w:t>
      </w:r>
      <w:r w:rsidR="000F7C58">
        <w:rPr>
          <w:rFonts w:cs="Times New Roman"/>
          <w:szCs w:val="20"/>
          <w:lang w:eastAsia="ar-SA"/>
        </w:rPr>
        <w:t>GTD</w:t>
      </w:r>
      <w:r>
        <w:rPr>
          <w:rFonts w:cs="Times New Roman"/>
          <w:szCs w:val="20"/>
          <w:lang w:eastAsia="ar-SA"/>
        </w:rPr>
        <w:t xml:space="preserve"> </w:t>
      </w:r>
      <w:r w:rsidR="000F7C58">
        <w:rPr>
          <w:rFonts w:cs="Times New Roman"/>
          <w:szCs w:val="20"/>
          <w:lang w:eastAsia="ar-SA"/>
        </w:rPr>
        <w:t xml:space="preserve">bzw. die nachfolgenden Geokunststoffe (KDB, Dränelement) </w:t>
      </w:r>
      <w:r w:rsidRPr="0039461D">
        <w:rPr>
          <w:rFonts w:cs="Times New Roman"/>
          <w:szCs w:val="20"/>
          <w:lang w:eastAsia="ar-SA"/>
        </w:rPr>
        <w:t>wellenfrei und vollflächig aufliegen.</w:t>
      </w:r>
    </w:p>
    <w:p w14:paraId="66733825" w14:textId="77777777" w:rsidR="009F60C9" w:rsidRDefault="009F60C9" w:rsidP="009F60C9">
      <w:pPr>
        <w:widowControl w:val="0"/>
        <w:tabs>
          <w:tab w:val="left" w:pos="567"/>
        </w:tabs>
        <w:suppressAutoHyphens/>
        <w:overflowPunct w:val="0"/>
        <w:autoSpaceDE w:val="0"/>
        <w:spacing w:after="120" w:line="360" w:lineRule="auto"/>
        <w:textAlignment w:val="baseline"/>
        <w:rPr>
          <w:rFonts w:cs="Times New Roman"/>
          <w:szCs w:val="20"/>
          <w:lang w:eastAsia="ar-SA"/>
        </w:rPr>
      </w:pPr>
      <w:r w:rsidRPr="0039461D">
        <w:rPr>
          <w:rFonts w:cs="Times New Roman"/>
          <w:szCs w:val="20"/>
          <w:lang w:eastAsia="ar-SA"/>
        </w:rPr>
        <w:t>Bei witterungsbedingten und bautechnischen Einschränk</w:t>
      </w:r>
      <w:r>
        <w:rPr>
          <w:rFonts w:cs="Times New Roman"/>
          <w:szCs w:val="20"/>
          <w:lang w:eastAsia="ar-SA"/>
        </w:rPr>
        <w:t>ungen können durch die be</w:t>
      </w:r>
      <w:r w:rsidRPr="0039461D">
        <w:rPr>
          <w:rFonts w:cs="Times New Roman"/>
          <w:szCs w:val="20"/>
          <w:lang w:eastAsia="ar-SA"/>
        </w:rPr>
        <w:t>hördliche Überwachung und die Fremdprüfung in A</w:t>
      </w:r>
      <w:r>
        <w:rPr>
          <w:rFonts w:cs="Times New Roman"/>
          <w:szCs w:val="20"/>
          <w:lang w:eastAsia="ar-SA"/>
        </w:rPr>
        <w:t>bstimmung mit der örtlichen Bau</w:t>
      </w:r>
      <w:r w:rsidRPr="0039461D">
        <w:rPr>
          <w:rFonts w:cs="Times New Roman"/>
          <w:szCs w:val="20"/>
          <w:lang w:eastAsia="ar-SA"/>
        </w:rPr>
        <w:t>überwachung zusätzliche Maßnahmen festgelegt werden.</w:t>
      </w:r>
    </w:p>
    <w:p w14:paraId="66733826" w14:textId="77777777" w:rsidR="000F7C58" w:rsidRPr="002E73E5" w:rsidRDefault="000F7C58" w:rsidP="002E73E5">
      <w:pPr>
        <w:widowControl w:val="0"/>
        <w:tabs>
          <w:tab w:val="left" w:pos="567"/>
        </w:tabs>
        <w:suppressAutoHyphens/>
        <w:overflowPunct w:val="0"/>
        <w:autoSpaceDE w:val="0"/>
        <w:spacing w:after="120" w:line="360" w:lineRule="auto"/>
        <w:textAlignment w:val="baseline"/>
        <w:rPr>
          <w:rFonts w:cs="Times New Roman"/>
          <w:szCs w:val="20"/>
          <w:lang w:eastAsia="ar-SA"/>
        </w:rPr>
      </w:pPr>
      <w:r w:rsidRPr="002E73E5">
        <w:rPr>
          <w:rFonts w:cs="Times New Roman"/>
          <w:szCs w:val="20"/>
          <w:lang w:eastAsia="ar-SA"/>
        </w:rPr>
        <w:t>Die GTD darf niemals direkt befahren werden. Fahrstraßen sollten grundsätzlich nicht über gedichtete Flächen führen. Lassen sich Fahrstraßen mit entsprechender dynamischer Belastung durch LKWs (z. B. für den Antransport des De</w:t>
      </w:r>
      <w:r w:rsidR="00103879">
        <w:rPr>
          <w:rFonts w:cs="Times New Roman"/>
          <w:szCs w:val="20"/>
          <w:lang w:eastAsia="ar-SA"/>
        </w:rPr>
        <w:t>ckmaterials) nicht umgehen, ist eine</w:t>
      </w:r>
      <w:r w:rsidRPr="002E73E5">
        <w:rPr>
          <w:rFonts w:cs="Times New Roman"/>
          <w:szCs w:val="20"/>
          <w:lang w:eastAsia="ar-SA"/>
        </w:rPr>
        <w:t xml:space="preserve"> Mindestüberdeckung von 100 cm einzuhalten. </w:t>
      </w:r>
    </w:p>
    <w:p w14:paraId="66733827" w14:textId="77777777" w:rsidR="00FE072D" w:rsidRDefault="000F7C58" w:rsidP="002E73E5">
      <w:pPr>
        <w:widowControl w:val="0"/>
        <w:tabs>
          <w:tab w:val="left" w:pos="567"/>
        </w:tabs>
        <w:suppressAutoHyphens/>
        <w:overflowPunct w:val="0"/>
        <w:autoSpaceDE w:val="0"/>
        <w:spacing w:after="120" w:line="360" w:lineRule="auto"/>
        <w:textAlignment w:val="baseline"/>
        <w:rPr>
          <w:rFonts w:cs="Times New Roman"/>
          <w:szCs w:val="20"/>
          <w:lang w:eastAsia="ar-SA"/>
        </w:rPr>
      </w:pPr>
      <w:r w:rsidRPr="002E73E5">
        <w:rPr>
          <w:rFonts w:cs="Times New Roman"/>
          <w:szCs w:val="20"/>
          <w:lang w:eastAsia="ar-SA"/>
        </w:rPr>
        <w:t xml:space="preserve">Einbau und Verteilung der Bodenauflast direkt auf der GTD dürfen nur im Vor-Kopf-Verfahren (z. B. mit Bagger oder Planierraupe) erfolgen und Bodenmaterial darf nicht gegen Überlappungen geschoben werden. Hierbei ist darauf zu achten, dass während des Auftragens der Bodenauflast keine Überlappungs-kanten oder Überlappungsbereiche verdrückt oder verschoben werden. Das Befahren der Bodenauflast (≥ 30 cm) ist nur zum Zwecke der Verteilung der Bodenauflast zulässig. </w:t>
      </w:r>
    </w:p>
    <w:p w14:paraId="66733828" w14:textId="77777777" w:rsidR="000F7C58" w:rsidRPr="002E73E5" w:rsidRDefault="000F7C58" w:rsidP="002E73E5">
      <w:pPr>
        <w:widowControl w:val="0"/>
        <w:tabs>
          <w:tab w:val="left" w:pos="567"/>
        </w:tabs>
        <w:suppressAutoHyphens/>
        <w:overflowPunct w:val="0"/>
        <w:autoSpaceDE w:val="0"/>
        <w:spacing w:after="120" w:line="360" w:lineRule="auto"/>
        <w:textAlignment w:val="baseline"/>
        <w:rPr>
          <w:rFonts w:cs="Times New Roman"/>
          <w:szCs w:val="20"/>
          <w:lang w:eastAsia="ar-SA"/>
        </w:rPr>
      </w:pPr>
      <w:r w:rsidRPr="002E73E5">
        <w:rPr>
          <w:rFonts w:cs="Times New Roman"/>
          <w:szCs w:val="20"/>
          <w:lang w:eastAsia="ar-SA"/>
        </w:rPr>
        <w:t xml:space="preserve">Bei Aufbringen einer Bodenauflast auf der Kombinationsdichtung, bestehend aus einer unten liegenden GTD und einer darüber liegenden Kunststoffdichtungsbahn bzw. eines Dränelementes, sind zusätzlich die Verlegevorschriften der Geokunststoffe und das Reibungsverhalten des Systems zu beachten. </w:t>
      </w:r>
    </w:p>
    <w:p w14:paraId="66733829" w14:textId="77777777" w:rsidR="009F60C9" w:rsidRDefault="009F60C9" w:rsidP="009F60C9">
      <w:pPr>
        <w:widowControl w:val="0"/>
        <w:tabs>
          <w:tab w:val="left" w:pos="567"/>
        </w:tabs>
        <w:suppressAutoHyphens/>
        <w:overflowPunct w:val="0"/>
        <w:autoSpaceDE w:val="0"/>
        <w:spacing w:after="120" w:line="360" w:lineRule="auto"/>
        <w:textAlignment w:val="baseline"/>
        <w:rPr>
          <w:rFonts w:cs="Times New Roman"/>
          <w:szCs w:val="20"/>
          <w:lang w:eastAsia="ar-SA"/>
        </w:rPr>
      </w:pPr>
      <w:r w:rsidRPr="0039461D">
        <w:rPr>
          <w:rFonts w:cs="Times New Roman"/>
          <w:szCs w:val="20"/>
          <w:lang w:eastAsia="ar-SA"/>
        </w:rPr>
        <w:t xml:space="preserve">Das Überbauen der GTD mit den Kunststoffdichtungsbahnen, mit den </w:t>
      </w:r>
      <w:r>
        <w:rPr>
          <w:rFonts w:cs="Times New Roman"/>
          <w:szCs w:val="20"/>
          <w:lang w:eastAsia="ar-SA"/>
        </w:rPr>
        <w:t>Geotextilien / Dränelementen</w:t>
      </w:r>
      <w:r w:rsidRPr="0039461D">
        <w:rPr>
          <w:rFonts w:cs="Times New Roman"/>
          <w:szCs w:val="20"/>
          <w:lang w:eastAsia="ar-SA"/>
        </w:rPr>
        <w:t xml:space="preserve"> und mit den mineralischen Schichten wird vom Fremdprüfer im Rahmen seiner</w:t>
      </w:r>
      <w:r>
        <w:rPr>
          <w:rFonts w:cs="Times New Roman"/>
          <w:szCs w:val="20"/>
          <w:lang w:eastAsia="ar-SA"/>
        </w:rPr>
        <w:t xml:space="preserve"> </w:t>
      </w:r>
      <w:r w:rsidRPr="0039461D">
        <w:rPr>
          <w:rFonts w:cs="Times New Roman"/>
          <w:szCs w:val="20"/>
          <w:lang w:eastAsia="ar-SA"/>
        </w:rPr>
        <w:t>Baustellentermine kontrolliert.</w:t>
      </w:r>
    </w:p>
    <w:p w14:paraId="6673382A" w14:textId="77777777" w:rsidR="00322C9B" w:rsidRDefault="00322C9B" w:rsidP="009F60C9">
      <w:pPr>
        <w:widowControl w:val="0"/>
        <w:tabs>
          <w:tab w:val="left" w:pos="567"/>
        </w:tabs>
        <w:suppressAutoHyphens/>
        <w:overflowPunct w:val="0"/>
        <w:autoSpaceDE w:val="0"/>
        <w:spacing w:after="120" w:line="360" w:lineRule="auto"/>
        <w:textAlignment w:val="baseline"/>
        <w:rPr>
          <w:rFonts w:cs="Times New Roman"/>
          <w:szCs w:val="20"/>
          <w:lang w:eastAsia="ar-SA"/>
        </w:rPr>
      </w:pPr>
    </w:p>
    <w:p w14:paraId="6673382B" w14:textId="77777777" w:rsidR="00C07846" w:rsidRPr="0039461D" w:rsidRDefault="00C07846" w:rsidP="009F60C9">
      <w:pPr>
        <w:widowControl w:val="0"/>
        <w:tabs>
          <w:tab w:val="left" w:pos="567"/>
        </w:tabs>
        <w:suppressAutoHyphens/>
        <w:overflowPunct w:val="0"/>
        <w:autoSpaceDE w:val="0"/>
        <w:spacing w:after="120" w:line="360" w:lineRule="auto"/>
        <w:textAlignment w:val="baseline"/>
        <w:rPr>
          <w:rFonts w:cs="Times New Roman"/>
          <w:szCs w:val="20"/>
          <w:lang w:eastAsia="ar-SA"/>
        </w:rPr>
      </w:pPr>
      <w:r>
        <w:rPr>
          <w:rFonts w:cs="Times New Roman"/>
          <w:szCs w:val="20"/>
          <w:lang w:eastAsia="ar-SA"/>
        </w:rPr>
        <w:t>Für die nachfolgenden Schichten gelten die folgenden Anfo</w:t>
      </w:r>
      <w:r w:rsidR="00562F09">
        <w:rPr>
          <w:rFonts w:cs="Times New Roman"/>
          <w:szCs w:val="20"/>
          <w:lang w:eastAsia="ar-SA"/>
        </w:rPr>
        <w:t>r</w:t>
      </w:r>
      <w:r>
        <w:rPr>
          <w:rFonts w:cs="Times New Roman"/>
          <w:szCs w:val="20"/>
          <w:lang w:eastAsia="ar-SA"/>
        </w:rPr>
        <w:t>derungen</w:t>
      </w:r>
      <w:r w:rsidR="00562F09">
        <w:rPr>
          <w:rFonts w:cs="Times New Roman"/>
          <w:szCs w:val="20"/>
          <w:lang w:eastAsia="ar-SA"/>
        </w:rPr>
        <w:t xml:space="preserve">, </w:t>
      </w:r>
      <w:r w:rsidR="00562F09" w:rsidRPr="00562F09">
        <w:rPr>
          <w:rFonts w:cs="Times New Roman"/>
          <w:szCs w:val="20"/>
          <w:u w:val="single"/>
          <w:lang w:eastAsia="ar-SA"/>
        </w:rPr>
        <w:t>insofern die GTD nicht mit einer Kunststoffdichtungsbahn geschützt wird</w:t>
      </w:r>
      <w:r w:rsidR="00562F09">
        <w:rPr>
          <w:rFonts w:cs="Times New Roman"/>
          <w:szCs w:val="20"/>
          <w:lang w:eastAsia="ar-SA"/>
        </w:rPr>
        <w:t xml:space="preserve">: </w:t>
      </w:r>
    </w:p>
    <w:p w14:paraId="6673382C" w14:textId="77777777" w:rsidR="00C07846" w:rsidRPr="00562F09" w:rsidRDefault="00C07846" w:rsidP="00562F09">
      <w:pPr>
        <w:widowControl w:val="0"/>
        <w:tabs>
          <w:tab w:val="left" w:pos="567"/>
        </w:tabs>
        <w:suppressAutoHyphens/>
        <w:overflowPunct w:val="0"/>
        <w:autoSpaceDE w:val="0"/>
        <w:spacing w:after="120" w:line="360" w:lineRule="auto"/>
        <w:textAlignment w:val="baseline"/>
        <w:rPr>
          <w:rFonts w:cs="Times New Roman"/>
          <w:b/>
          <w:szCs w:val="20"/>
          <w:lang w:eastAsia="ar-SA"/>
        </w:rPr>
      </w:pPr>
      <w:r w:rsidRPr="00562F09">
        <w:rPr>
          <w:rFonts w:cs="Times New Roman"/>
          <w:b/>
          <w:szCs w:val="20"/>
          <w:lang w:eastAsia="ar-SA"/>
        </w:rPr>
        <w:t>Entwässerungsschicht:</w:t>
      </w:r>
    </w:p>
    <w:p w14:paraId="6673382D" w14:textId="77777777" w:rsidR="00C07846" w:rsidRPr="00562F09" w:rsidRDefault="00C07846" w:rsidP="00562F09">
      <w:pPr>
        <w:pStyle w:val="StAbsatz"/>
        <w:numPr>
          <w:ilvl w:val="0"/>
          <w:numId w:val="33"/>
        </w:numPr>
      </w:pPr>
      <w:r w:rsidRPr="00562F09">
        <w:t>Mineralische Entwässerung</w:t>
      </w:r>
      <w:r w:rsidR="00562F09" w:rsidRPr="00562F09">
        <w:t xml:space="preserve">sschicht: </w:t>
      </w:r>
      <w:r w:rsidRPr="00562F09">
        <w:t>Größtkorn auf 8 mm beschränkt (10 Gew.-% Überkorn bis 16 mm zulässig</w:t>
      </w:r>
    </w:p>
    <w:p w14:paraId="6673382E" w14:textId="77777777" w:rsidR="00C07846" w:rsidRPr="00562F09" w:rsidRDefault="00C07846" w:rsidP="00562F09">
      <w:pPr>
        <w:pStyle w:val="StAbsatz"/>
        <w:numPr>
          <w:ilvl w:val="0"/>
          <w:numId w:val="33"/>
        </w:numPr>
      </w:pPr>
      <w:r w:rsidRPr="00562F09">
        <w:t>Geotextile En</w:t>
      </w:r>
      <w:r w:rsidR="00562F09" w:rsidRPr="00562F09">
        <w:t>twässerungsschichten (Dränelemente</w:t>
      </w:r>
      <w:r w:rsidRPr="00562F09">
        <w:t xml:space="preserve">) </w:t>
      </w:r>
      <w:r w:rsidR="00562F09" w:rsidRPr="00562F09">
        <w:t xml:space="preserve">mit Zulassung der Bundesanstalt </w:t>
      </w:r>
      <w:r w:rsidRPr="00562F09">
        <w:t>für Materialforschung und -prüfung (BAM)</w:t>
      </w:r>
    </w:p>
    <w:p w14:paraId="6673382F" w14:textId="77777777" w:rsidR="00C07846" w:rsidRPr="00562F09" w:rsidRDefault="00C07846" w:rsidP="00562F09">
      <w:pPr>
        <w:pStyle w:val="StAbsatz"/>
        <w:numPr>
          <w:ilvl w:val="0"/>
          <w:numId w:val="33"/>
        </w:numPr>
      </w:pPr>
      <w:r w:rsidRPr="00562F09">
        <w:lastRenderedPageBreak/>
        <w:t>Anordnung einer mindestens 10 cm dicken Sandschicht</w:t>
      </w:r>
      <w:r w:rsidR="00562F09" w:rsidRPr="00562F09">
        <w:t xml:space="preserve"> (SE, SW, SU) als untere </w:t>
      </w:r>
      <w:r w:rsidRPr="00562F09">
        <w:t>Lage der Entwässerungsschicht zur Erhöhung</w:t>
      </w:r>
      <w:r w:rsidR="00562F09" w:rsidRPr="00562F09">
        <w:t xml:space="preserve"> des Schutzes gegen Austrocknen </w:t>
      </w:r>
      <w:r w:rsidRPr="00562F09">
        <w:t>der GTD</w:t>
      </w:r>
    </w:p>
    <w:p w14:paraId="66733830" w14:textId="77777777" w:rsidR="00864ECD" w:rsidRDefault="00C07846" w:rsidP="00C07846">
      <w:pPr>
        <w:widowControl w:val="0"/>
        <w:tabs>
          <w:tab w:val="left" w:pos="567"/>
        </w:tabs>
        <w:suppressAutoHyphens/>
        <w:overflowPunct w:val="0"/>
        <w:autoSpaceDE w:val="0"/>
        <w:spacing w:after="120" w:line="360" w:lineRule="auto"/>
        <w:textAlignment w:val="baseline"/>
        <w:rPr>
          <w:rFonts w:cs="Times New Roman"/>
          <w:b/>
          <w:szCs w:val="20"/>
          <w:lang w:eastAsia="ar-SA"/>
        </w:rPr>
      </w:pPr>
      <w:r w:rsidRPr="00562F09">
        <w:rPr>
          <w:rFonts w:cs="Times New Roman"/>
          <w:b/>
          <w:szCs w:val="20"/>
          <w:lang w:eastAsia="ar-SA"/>
        </w:rPr>
        <w:t>Rekultivierungsschicht:</w:t>
      </w:r>
    </w:p>
    <w:p w14:paraId="66733831" w14:textId="77777777" w:rsidR="00562F09" w:rsidRPr="00562F09" w:rsidRDefault="00562F09" w:rsidP="00562F09">
      <w:pPr>
        <w:widowControl w:val="0"/>
        <w:tabs>
          <w:tab w:val="left" w:pos="567"/>
        </w:tabs>
        <w:suppressAutoHyphens/>
        <w:overflowPunct w:val="0"/>
        <w:autoSpaceDE w:val="0"/>
        <w:spacing w:after="120" w:line="360" w:lineRule="auto"/>
        <w:textAlignment w:val="baseline"/>
        <w:rPr>
          <w:rFonts w:cs="Times New Roman"/>
          <w:szCs w:val="20"/>
          <w:lang w:eastAsia="ar-SA"/>
        </w:rPr>
      </w:pPr>
      <w:r w:rsidRPr="00562F09">
        <w:rPr>
          <w:rFonts w:cs="Times New Roman"/>
          <w:szCs w:val="20"/>
          <w:lang w:eastAsia="ar-SA"/>
        </w:rPr>
        <w:t>Soweit die GTD nicht durch eine BAM-zugelassene Kunststoffdichtu</w:t>
      </w:r>
      <w:r>
        <w:rPr>
          <w:rFonts w:cs="Times New Roman"/>
          <w:szCs w:val="20"/>
          <w:lang w:eastAsia="ar-SA"/>
        </w:rPr>
        <w:t xml:space="preserve">ngsbahn geschützt wird, ist die </w:t>
      </w:r>
      <w:r w:rsidRPr="00562F09">
        <w:rPr>
          <w:rFonts w:cs="Times New Roman"/>
          <w:szCs w:val="20"/>
          <w:lang w:eastAsia="ar-SA"/>
        </w:rPr>
        <w:t>Dicke der Rekultivierungsschicht unter Berücksichtigung</w:t>
      </w:r>
    </w:p>
    <w:p w14:paraId="66733832" w14:textId="77777777" w:rsidR="00562F09" w:rsidRPr="00562F09" w:rsidRDefault="00562F09" w:rsidP="00562F09">
      <w:pPr>
        <w:pStyle w:val="StAbsatz"/>
        <w:numPr>
          <w:ilvl w:val="0"/>
          <w:numId w:val="33"/>
        </w:numPr>
      </w:pPr>
      <w:r w:rsidRPr="00562F09">
        <w:t>der Empfindlichkeit der mineralischen Abdichtungskomponente,</w:t>
      </w:r>
    </w:p>
    <w:p w14:paraId="66733833" w14:textId="77777777" w:rsidR="00562F09" w:rsidRPr="00562F09" w:rsidRDefault="00562F09" w:rsidP="00562F09">
      <w:pPr>
        <w:pStyle w:val="StAbsatz"/>
        <w:numPr>
          <w:ilvl w:val="0"/>
          <w:numId w:val="33"/>
        </w:numPr>
      </w:pPr>
      <w:r w:rsidRPr="00562F09">
        <w:t>der meteorologischen Standortbedingungen,</w:t>
      </w:r>
    </w:p>
    <w:p w14:paraId="66733834" w14:textId="77777777" w:rsidR="00562F09" w:rsidRPr="00562F09" w:rsidRDefault="00562F09" w:rsidP="00562F09">
      <w:pPr>
        <w:pStyle w:val="StAbsatz"/>
        <w:numPr>
          <w:ilvl w:val="0"/>
          <w:numId w:val="33"/>
        </w:numPr>
      </w:pPr>
      <w:r w:rsidRPr="00562F09">
        <w:t>der möglichen Wurzeltiefe der natürlichen potenziellen Vegetation des Standortes und</w:t>
      </w:r>
    </w:p>
    <w:p w14:paraId="66733835" w14:textId="77777777" w:rsidR="00562F09" w:rsidRPr="00562F09" w:rsidRDefault="00562F09" w:rsidP="00562F09">
      <w:pPr>
        <w:pStyle w:val="StAbsatz"/>
        <w:numPr>
          <w:ilvl w:val="0"/>
          <w:numId w:val="33"/>
        </w:numPr>
      </w:pPr>
      <w:r w:rsidRPr="00562F09">
        <w:t>der eingesetzten Böden</w:t>
      </w:r>
    </w:p>
    <w:p w14:paraId="66733836" w14:textId="77777777" w:rsidR="00562F09" w:rsidRPr="00562F09" w:rsidRDefault="00562F09" w:rsidP="00562F09">
      <w:pPr>
        <w:widowControl w:val="0"/>
        <w:tabs>
          <w:tab w:val="left" w:pos="567"/>
        </w:tabs>
        <w:suppressAutoHyphens/>
        <w:overflowPunct w:val="0"/>
        <w:autoSpaceDE w:val="0"/>
        <w:spacing w:after="120" w:line="360" w:lineRule="auto"/>
        <w:textAlignment w:val="baseline"/>
        <w:rPr>
          <w:rFonts w:cs="Times New Roman"/>
          <w:szCs w:val="20"/>
          <w:lang w:eastAsia="ar-SA"/>
        </w:rPr>
      </w:pPr>
      <w:r w:rsidRPr="00562F09">
        <w:rPr>
          <w:rFonts w:cs="Times New Roman"/>
          <w:szCs w:val="20"/>
          <w:lang w:eastAsia="ar-SA"/>
        </w:rPr>
        <w:t>so zu dimensionieren, dass keine schädlichen Wasserspannungen auf die min</w:t>
      </w:r>
      <w:r>
        <w:rPr>
          <w:rFonts w:cs="Times New Roman"/>
          <w:szCs w:val="20"/>
          <w:lang w:eastAsia="ar-SA"/>
        </w:rPr>
        <w:t xml:space="preserve">eralische Abdichtungskomponente </w:t>
      </w:r>
      <w:r w:rsidRPr="00562F09">
        <w:rPr>
          <w:rFonts w:cs="Times New Roman"/>
          <w:szCs w:val="20"/>
          <w:lang w:eastAsia="ar-SA"/>
        </w:rPr>
        <w:t>einwirken können.</w:t>
      </w:r>
    </w:p>
    <w:p w14:paraId="66733837" w14:textId="77777777" w:rsidR="00562F09" w:rsidRPr="00562F09" w:rsidRDefault="00562F09" w:rsidP="00562F09">
      <w:pPr>
        <w:widowControl w:val="0"/>
        <w:tabs>
          <w:tab w:val="left" w:pos="567"/>
        </w:tabs>
        <w:suppressAutoHyphens/>
        <w:overflowPunct w:val="0"/>
        <w:autoSpaceDE w:val="0"/>
        <w:spacing w:after="120" w:line="360" w:lineRule="auto"/>
        <w:textAlignment w:val="baseline"/>
        <w:rPr>
          <w:rFonts w:cs="Times New Roman"/>
          <w:szCs w:val="20"/>
          <w:lang w:eastAsia="ar-SA"/>
        </w:rPr>
      </w:pPr>
      <w:r w:rsidRPr="00562F09">
        <w:rPr>
          <w:rFonts w:cs="Times New Roman"/>
          <w:szCs w:val="20"/>
          <w:lang w:eastAsia="ar-SA"/>
        </w:rPr>
        <w:t>Bei Einhaltung der nachfolgenden Kriterien kann in der Regel</w:t>
      </w:r>
      <w:r>
        <w:rPr>
          <w:rFonts w:cs="Times New Roman"/>
          <w:szCs w:val="20"/>
          <w:lang w:eastAsia="ar-SA"/>
        </w:rPr>
        <w:t xml:space="preserve"> davon ausgegangen werden, dass </w:t>
      </w:r>
      <w:r w:rsidRPr="00562F09">
        <w:rPr>
          <w:rFonts w:cs="Times New Roman"/>
          <w:szCs w:val="20"/>
          <w:lang w:eastAsia="ar-SA"/>
        </w:rPr>
        <w:t>die o.g. Ziele erreicht werden:</w:t>
      </w:r>
    </w:p>
    <w:p w14:paraId="66733838" w14:textId="77777777" w:rsidR="00562F09" w:rsidRPr="00562F09" w:rsidRDefault="00562F09" w:rsidP="00562F09">
      <w:pPr>
        <w:pStyle w:val="StAbsatz"/>
        <w:numPr>
          <w:ilvl w:val="0"/>
          <w:numId w:val="33"/>
        </w:numPr>
      </w:pPr>
      <w:r w:rsidRPr="00562F09">
        <w:t>Mächtigkeit ≥ 1,50 m; je nach örtlichen klimatischen und pflanzenstandortspezifischen Gegebenheiten sowie ggf. auch abhängig von der späteren Nutzung (z. B. Wald) größere Rekultivierungsschichtdicken erforderlich sein.</w:t>
      </w:r>
    </w:p>
    <w:p w14:paraId="66733839" w14:textId="77777777" w:rsidR="00562F09" w:rsidRPr="00562F09" w:rsidRDefault="00562F09" w:rsidP="00562F09">
      <w:pPr>
        <w:pStyle w:val="StAbsatz"/>
        <w:numPr>
          <w:ilvl w:val="0"/>
          <w:numId w:val="33"/>
        </w:numPr>
      </w:pPr>
      <w:r w:rsidRPr="00562F09">
        <w:t>Die eingebaute Bodenschicht soll eine ausreichende nutzbare Feldkapazität (nFK) aufweisen, damit die Pflanzen in sommerlichen Trockenperioden nicht absterben und ein durch den Trockenstress hervorgerufenes Tiefenwachstum der Wurzeln verhindert wird. Hierfür soll die nutzbare Feldkapazität mindestens 200 mm betragen.</w:t>
      </w:r>
    </w:p>
    <w:p w14:paraId="6673383A" w14:textId="77777777" w:rsidR="00562F09" w:rsidRPr="00562F09" w:rsidRDefault="00562F09" w:rsidP="00562F09">
      <w:pPr>
        <w:pStyle w:val="StAbsatz"/>
        <w:numPr>
          <w:ilvl w:val="0"/>
          <w:numId w:val="33"/>
        </w:numPr>
      </w:pPr>
      <w:r w:rsidRPr="00562F09">
        <w:t>Zur Sicherstellung einer ausreichenden Nährstoffversorgung sollte im oberen Bereich der Rekultivierungsschicht (≈ 30 cm) humoses Material verwendet werden (Oberboden). § 12 BBodSchV ist zu beachten.</w:t>
      </w:r>
    </w:p>
    <w:p w14:paraId="6673383B" w14:textId="77777777" w:rsidR="00562F09" w:rsidRPr="00562F09" w:rsidRDefault="00562F09" w:rsidP="00562F09">
      <w:pPr>
        <w:pStyle w:val="StAbsatz"/>
        <w:numPr>
          <w:ilvl w:val="0"/>
          <w:numId w:val="33"/>
        </w:numPr>
      </w:pPr>
      <w:r w:rsidRPr="00562F09">
        <w:t>Es ist eine mindestens 10 cm dicke Wasser speichernde Sandschicht (SE, SW, SU) auf der GTD einzubauen.</w:t>
      </w:r>
    </w:p>
    <w:sectPr w:rsidR="00562F09" w:rsidRPr="00562F09" w:rsidSect="008E7A8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383E" w14:textId="77777777" w:rsidR="00395E0C" w:rsidRDefault="00395E0C">
      <w:pPr>
        <w:spacing w:before="0" w:line="240" w:lineRule="auto"/>
      </w:pPr>
      <w:r>
        <w:separator/>
      </w:r>
    </w:p>
  </w:endnote>
  <w:endnote w:type="continuationSeparator" w:id="0">
    <w:p w14:paraId="6673383F" w14:textId="77777777" w:rsidR="00395E0C" w:rsidRDefault="00395E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3841" w14:textId="77777777" w:rsidR="00395E0C" w:rsidRDefault="00395E0C"/>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395E0C" w14:paraId="66733846" w14:textId="77777777">
      <w:tc>
        <w:tcPr>
          <w:tcW w:w="2950" w:type="dxa"/>
        </w:tcPr>
        <w:p w14:paraId="66733842" w14:textId="77777777" w:rsidR="00395E0C" w:rsidRDefault="00395E0C">
          <w:pPr>
            <w:rPr>
              <w:sz w:val="16"/>
            </w:rPr>
          </w:pPr>
        </w:p>
      </w:tc>
      <w:tc>
        <w:tcPr>
          <w:tcW w:w="2520" w:type="dxa"/>
        </w:tcPr>
        <w:p w14:paraId="66733843" w14:textId="77777777" w:rsidR="00395E0C" w:rsidRDefault="00395E0C">
          <w:pPr>
            <w:tabs>
              <w:tab w:val="center" w:pos="4171"/>
            </w:tabs>
            <w:rPr>
              <w:sz w:val="12"/>
            </w:rPr>
          </w:pPr>
        </w:p>
      </w:tc>
      <w:tc>
        <w:tcPr>
          <w:tcW w:w="1800" w:type="dxa"/>
        </w:tcPr>
        <w:p w14:paraId="66733844" w14:textId="77777777" w:rsidR="00395E0C" w:rsidRDefault="00395E0C">
          <w:pPr>
            <w:tabs>
              <w:tab w:val="left" w:pos="1629"/>
            </w:tabs>
            <w:rPr>
              <w:sz w:val="16"/>
            </w:rPr>
          </w:pPr>
        </w:p>
      </w:tc>
      <w:tc>
        <w:tcPr>
          <w:tcW w:w="1980" w:type="dxa"/>
        </w:tcPr>
        <w:p w14:paraId="66733845" w14:textId="77777777" w:rsidR="00395E0C" w:rsidRDefault="00395E0C">
          <w:pPr>
            <w:jc w:val="right"/>
          </w:pPr>
          <w:r>
            <w:t xml:space="preserve">Seite </w:t>
          </w:r>
          <w:r>
            <w:fldChar w:fldCharType="begin"/>
          </w:r>
          <w:r>
            <w:instrText xml:space="preserve"> PAGE </w:instrText>
          </w:r>
          <w:r>
            <w:fldChar w:fldCharType="separate"/>
          </w:r>
          <w:r w:rsidR="002B39EB">
            <w:rPr>
              <w:noProof/>
            </w:rPr>
            <w:t>1</w:t>
          </w:r>
          <w:r>
            <w:fldChar w:fldCharType="end"/>
          </w:r>
        </w:p>
      </w:tc>
    </w:tr>
  </w:tbl>
  <w:p w14:paraId="66733847" w14:textId="77777777" w:rsidR="00395E0C" w:rsidRDefault="00395E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383C" w14:textId="77777777" w:rsidR="00395E0C" w:rsidRDefault="00395E0C">
      <w:pPr>
        <w:spacing w:before="0" w:line="240" w:lineRule="auto"/>
      </w:pPr>
      <w:r>
        <w:separator/>
      </w:r>
    </w:p>
  </w:footnote>
  <w:footnote w:type="continuationSeparator" w:id="0">
    <w:p w14:paraId="6673383D" w14:textId="77777777" w:rsidR="00395E0C" w:rsidRDefault="00395E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3840" w14:textId="77777777" w:rsidR="00395E0C" w:rsidRDefault="00395E0C">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ED215B"/>
    <w:multiLevelType w:val="hybridMultilevel"/>
    <w:tmpl w:val="B6B496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B757ADB"/>
    <w:multiLevelType w:val="hybridMultilevel"/>
    <w:tmpl w:val="DB3C22DA"/>
    <w:lvl w:ilvl="0" w:tplc="E49001E8">
      <w:start w:val="1"/>
      <w:numFmt w:val="decimal"/>
      <w:lvlText w:val="B2. %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0"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2F3DAA"/>
    <w:multiLevelType w:val="multilevel"/>
    <w:tmpl w:val="6F188DE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6" w15:restartNumberingAfterBreak="0">
    <w:nsid w:val="67AD27D2"/>
    <w:multiLevelType w:val="hybridMultilevel"/>
    <w:tmpl w:val="9D88E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8" w15:restartNumberingAfterBreak="0">
    <w:nsid w:val="6AF176C4"/>
    <w:multiLevelType w:val="hybridMultilevel"/>
    <w:tmpl w:val="FD30D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21"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3" w15:restartNumberingAfterBreak="0">
    <w:nsid w:val="729330C9"/>
    <w:multiLevelType w:val="multilevel"/>
    <w:tmpl w:val="4288C296"/>
    <w:lvl w:ilvl="0">
      <w:start w:val="1"/>
      <w:numFmt w:val="decimal"/>
      <w:lvlText w:val="%1."/>
      <w:lvlJc w:val="left"/>
      <w:pPr>
        <w:tabs>
          <w:tab w:val="num" w:pos="789"/>
        </w:tabs>
        <w:ind w:left="789" w:hanging="432"/>
      </w:pPr>
      <w:rPr>
        <w:rFonts w:hint="default"/>
        <w:b/>
        <w:bCs/>
        <w:i w:val="0"/>
        <w:iCs w:val="0"/>
        <w:sz w:val="28"/>
        <w:szCs w:val="28"/>
      </w:rPr>
    </w:lvl>
    <w:lvl w:ilvl="1">
      <w:start w:val="1"/>
      <w:numFmt w:val="decimal"/>
      <w:lvlText w:val="%1.%2"/>
      <w:lvlJc w:val="left"/>
      <w:pPr>
        <w:tabs>
          <w:tab w:val="num" w:pos="933"/>
        </w:tabs>
        <w:ind w:left="933" w:hanging="933"/>
      </w:pPr>
      <w:rPr>
        <w:rFonts w:hint="default"/>
        <w:b/>
        <w:bCs/>
        <w:i w:val="0"/>
        <w:iCs w:val="0"/>
        <w:sz w:val="26"/>
        <w:szCs w:val="26"/>
      </w:rPr>
    </w:lvl>
    <w:lvl w:ilvl="2">
      <w:start w:val="1"/>
      <w:numFmt w:val="none"/>
      <w:lvlText w:val="2.4.3"/>
      <w:lvlJc w:val="left"/>
      <w:pPr>
        <w:tabs>
          <w:tab w:val="num" w:pos="1077"/>
        </w:tabs>
        <w:ind w:left="1077" w:hanging="720"/>
      </w:pPr>
      <w:rPr>
        <w:rFonts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1221"/>
        </w:tabs>
        <w:ind w:left="1221" w:hanging="864"/>
      </w:pPr>
      <w:rPr>
        <w:rFonts w:hint="default"/>
        <w:b/>
        <w:bCs/>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decimal"/>
      <w:lvlText w:val="%1.%2.%3.%4.%5"/>
      <w:lvlJc w:val="left"/>
      <w:pPr>
        <w:tabs>
          <w:tab w:val="num" w:pos="1365"/>
        </w:tabs>
        <w:ind w:left="1365" w:hanging="1008"/>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24"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1"/>
  </w:num>
  <w:num w:numId="4">
    <w:abstractNumId w:val="26"/>
  </w:num>
  <w:num w:numId="5">
    <w:abstractNumId w:val="2"/>
  </w:num>
  <w:num w:numId="6">
    <w:abstractNumId w:val="17"/>
  </w:num>
  <w:num w:numId="7">
    <w:abstractNumId w:val="10"/>
  </w:num>
  <w:num w:numId="8">
    <w:abstractNumId w:val="4"/>
  </w:num>
  <w:num w:numId="9">
    <w:abstractNumId w:val="7"/>
  </w:num>
  <w:num w:numId="10">
    <w:abstractNumId w:val="22"/>
  </w:num>
  <w:num w:numId="11">
    <w:abstractNumId w:val="22"/>
  </w:num>
  <w:num w:numId="12">
    <w:abstractNumId w:val="19"/>
  </w:num>
  <w:num w:numId="13">
    <w:abstractNumId w:val="1"/>
  </w:num>
  <w:num w:numId="14">
    <w:abstractNumId w:val="13"/>
  </w:num>
  <w:num w:numId="15">
    <w:abstractNumId w:val="20"/>
  </w:num>
  <w:num w:numId="16">
    <w:abstractNumId w:val="6"/>
  </w:num>
  <w:num w:numId="17">
    <w:abstractNumId w:val="11"/>
  </w:num>
  <w:num w:numId="18">
    <w:abstractNumId w:val="0"/>
  </w:num>
  <w:num w:numId="19">
    <w:abstractNumId w:val="24"/>
  </w:num>
  <w:num w:numId="20">
    <w:abstractNumId w:val="3"/>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9"/>
  </w:num>
  <w:num w:numId="26">
    <w:abstractNumId w:val="14"/>
  </w:num>
  <w:num w:numId="27">
    <w:abstractNumId w:val="23"/>
  </w:num>
  <w:num w:numId="28">
    <w:abstractNumId w:val="8"/>
  </w:num>
  <w:num w:numId="29">
    <w:abstractNumId w:val="14"/>
  </w:num>
  <w:num w:numId="30">
    <w:abstractNumId w:val="14"/>
  </w:num>
  <w:num w:numId="31">
    <w:abstractNumId w:val="14"/>
  </w:num>
  <w:num w:numId="32">
    <w:abstractNumId w:val="14"/>
  </w:num>
  <w:num w:numId="33">
    <w:abstractNumId w:val="18"/>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0F114E"/>
    <w:rsid w:val="000F7C58"/>
    <w:rsid w:val="00103024"/>
    <w:rsid w:val="00103879"/>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2754"/>
    <w:rsid w:val="0014477B"/>
    <w:rsid w:val="001542D5"/>
    <w:rsid w:val="00154390"/>
    <w:rsid w:val="00155C75"/>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35D8B"/>
    <w:rsid w:val="0024009C"/>
    <w:rsid w:val="00240FF7"/>
    <w:rsid w:val="00241F18"/>
    <w:rsid w:val="00244852"/>
    <w:rsid w:val="002472CD"/>
    <w:rsid w:val="00247A0E"/>
    <w:rsid w:val="002506E3"/>
    <w:rsid w:val="00252FB2"/>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B39EB"/>
    <w:rsid w:val="002B6463"/>
    <w:rsid w:val="002C1DD5"/>
    <w:rsid w:val="002C3965"/>
    <w:rsid w:val="002D2C08"/>
    <w:rsid w:val="002D395D"/>
    <w:rsid w:val="002D4CE1"/>
    <w:rsid w:val="002E058B"/>
    <w:rsid w:val="002E1244"/>
    <w:rsid w:val="002E1D8E"/>
    <w:rsid w:val="002E3A51"/>
    <w:rsid w:val="002E4672"/>
    <w:rsid w:val="002E73E5"/>
    <w:rsid w:val="002E7BE2"/>
    <w:rsid w:val="002F362D"/>
    <w:rsid w:val="002F65F1"/>
    <w:rsid w:val="00300557"/>
    <w:rsid w:val="00301A01"/>
    <w:rsid w:val="00302FB9"/>
    <w:rsid w:val="00304CAF"/>
    <w:rsid w:val="00307019"/>
    <w:rsid w:val="0031083D"/>
    <w:rsid w:val="0031253A"/>
    <w:rsid w:val="00313BF9"/>
    <w:rsid w:val="00315FA9"/>
    <w:rsid w:val="003167B8"/>
    <w:rsid w:val="00322C9B"/>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A7E12"/>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11A32"/>
    <w:rsid w:val="00520946"/>
    <w:rsid w:val="005224E3"/>
    <w:rsid w:val="0052584A"/>
    <w:rsid w:val="00526858"/>
    <w:rsid w:val="00527536"/>
    <w:rsid w:val="00527C27"/>
    <w:rsid w:val="00530E5F"/>
    <w:rsid w:val="00533072"/>
    <w:rsid w:val="005331E2"/>
    <w:rsid w:val="00534A50"/>
    <w:rsid w:val="00536EA6"/>
    <w:rsid w:val="0053785F"/>
    <w:rsid w:val="00543639"/>
    <w:rsid w:val="00543E1C"/>
    <w:rsid w:val="00544368"/>
    <w:rsid w:val="005475E9"/>
    <w:rsid w:val="005507E7"/>
    <w:rsid w:val="00553409"/>
    <w:rsid w:val="00554E44"/>
    <w:rsid w:val="0055686B"/>
    <w:rsid w:val="00562F09"/>
    <w:rsid w:val="00565C1B"/>
    <w:rsid w:val="00573BE5"/>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15CE1"/>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00B6"/>
    <w:rsid w:val="00852079"/>
    <w:rsid w:val="00856B1B"/>
    <w:rsid w:val="00864ECD"/>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310D"/>
    <w:rsid w:val="008E64DF"/>
    <w:rsid w:val="008E665E"/>
    <w:rsid w:val="008E7545"/>
    <w:rsid w:val="008E7A89"/>
    <w:rsid w:val="008F7B3A"/>
    <w:rsid w:val="00900745"/>
    <w:rsid w:val="00910B88"/>
    <w:rsid w:val="00911C1D"/>
    <w:rsid w:val="00911CAF"/>
    <w:rsid w:val="0091385A"/>
    <w:rsid w:val="00913883"/>
    <w:rsid w:val="009139CC"/>
    <w:rsid w:val="0091739C"/>
    <w:rsid w:val="00917671"/>
    <w:rsid w:val="00921D70"/>
    <w:rsid w:val="00925A6D"/>
    <w:rsid w:val="00926848"/>
    <w:rsid w:val="00930B8F"/>
    <w:rsid w:val="0093247F"/>
    <w:rsid w:val="00933FF4"/>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0C9"/>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1BC"/>
    <w:rsid w:val="00A63501"/>
    <w:rsid w:val="00A673BF"/>
    <w:rsid w:val="00A67C3B"/>
    <w:rsid w:val="00A72572"/>
    <w:rsid w:val="00A7479E"/>
    <w:rsid w:val="00A755D9"/>
    <w:rsid w:val="00A83282"/>
    <w:rsid w:val="00A866F7"/>
    <w:rsid w:val="00A879DC"/>
    <w:rsid w:val="00A92865"/>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48BB"/>
    <w:rsid w:val="00BE57E5"/>
    <w:rsid w:val="00BE6FF8"/>
    <w:rsid w:val="00BF0739"/>
    <w:rsid w:val="00BF0F27"/>
    <w:rsid w:val="00BF2112"/>
    <w:rsid w:val="00BF342C"/>
    <w:rsid w:val="00BF4B1F"/>
    <w:rsid w:val="00BF78CE"/>
    <w:rsid w:val="00C02384"/>
    <w:rsid w:val="00C02E24"/>
    <w:rsid w:val="00C0625B"/>
    <w:rsid w:val="00C07846"/>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095"/>
    <w:rsid w:val="00C55491"/>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35EE6"/>
    <w:rsid w:val="00D44B1C"/>
    <w:rsid w:val="00D564AE"/>
    <w:rsid w:val="00D60051"/>
    <w:rsid w:val="00D6198E"/>
    <w:rsid w:val="00D67D83"/>
    <w:rsid w:val="00D742E6"/>
    <w:rsid w:val="00D86F11"/>
    <w:rsid w:val="00D875D7"/>
    <w:rsid w:val="00D9543E"/>
    <w:rsid w:val="00D97AD3"/>
    <w:rsid w:val="00DA1E07"/>
    <w:rsid w:val="00DA22DC"/>
    <w:rsid w:val="00DA340A"/>
    <w:rsid w:val="00DA6650"/>
    <w:rsid w:val="00DA737F"/>
    <w:rsid w:val="00DB0F8B"/>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4718"/>
    <w:rsid w:val="00EC7871"/>
    <w:rsid w:val="00ED164D"/>
    <w:rsid w:val="00ED3309"/>
    <w:rsid w:val="00ED6323"/>
    <w:rsid w:val="00ED6971"/>
    <w:rsid w:val="00ED6981"/>
    <w:rsid w:val="00EE1165"/>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27A6"/>
    <w:rsid w:val="00F265DD"/>
    <w:rsid w:val="00F3628F"/>
    <w:rsid w:val="00F41CD2"/>
    <w:rsid w:val="00F4651A"/>
    <w:rsid w:val="00F46897"/>
    <w:rsid w:val="00F5003D"/>
    <w:rsid w:val="00F52C58"/>
    <w:rsid w:val="00F532A4"/>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072D"/>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67337A2"/>
  <w15:docId w15:val="{11C523A9-3D1F-4B6D-899F-BDE70126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uiPriority w:val="99"/>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uiPriority w:val="99"/>
    <w:qFormat/>
    <w:pPr>
      <w:keepNext/>
      <w:numPr>
        <w:ilvl w:val="1"/>
        <w:numId w:val="1"/>
      </w:numPr>
      <w:spacing w:before="240" w:after="60"/>
      <w:outlineLvl w:val="1"/>
    </w:pPr>
    <w:rPr>
      <w:b/>
      <w:bCs/>
      <w:iCs/>
      <w:sz w:val="24"/>
      <w:szCs w:val="28"/>
    </w:rPr>
  </w:style>
  <w:style w:type="paragraph" w:styleId="berschrift3">
    <w:name w:val="heading 3"/>
    <w:basedOn w:val="Standard"/>
    <w:next w:val="Textabsatz"/>
    <w:uiPriority w:val="99"/>
    <w:qFormat/>
    <w:pPr>
      <w:keepNext/>
      <w:numPr>
        <w:ilvl w:val="2"/>
        <w:numId w:val="1"/>
      </w:numPr>
      <w:spacing w:before="240" w:after="60"/>
      <w:outlineLvl w:val="2"/>
    </w:pPr>
    <w:rPr>
      <w:b/>
      <w:bCs/>
      <w:szCs w:val="26"/>
    </w:rPr>
  </w:style>
  <w:style w:type="paragraph" w:styleId="berschrift4">
    <w:name w:val="heading 4"/>
    <w:basedOn w:val="Standard"/>
    <w:next w:val="Textabsatz"/>
    <w:uiPriority w:val="99"/>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uiPriority w:val="99"/>
    <w:qFormat/>
    <w:pPr>
      <w:keepNext/>
      <w:numPr>
        <w:ilvl w:val="4"/>
        <w:numId w:val="1"/>
      </w:numPr>
      <w:spacing w:before="240" w:after="60"/>
      <w:outlineLvl w:val="4"/>
    </w:pPr>
    <w:rPr>
      <w:b/>
      <w:bCs/>
      <w:iCs/>
      <w:szCs w:val="26"/>
    </w:rPr>
  </w:style>
  <w:style w:type="paragraph" w:styleId="berschrift6">
    <w:name w:val="heading 6"/>
    <w:basedOn w:val="Standard"/>
    <w:next w:val="Textabsatz"/>
    <w:uiPriority w:val="99"/>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uiPriority w:val="99"/>
    <w:qFormat/>
    <w:pPr>
      <w:numPr>
        <w:ilvl w:val="6"/>
        <w:numId w:val="1"/>
      </w:numPr>
      <w:spacing w:before="240" w:after="60"/>
      <w:outlineLvl w:val="6"/>
    </w:pPr>
    <w:rPr>
      <w:rFonts w:cs="Times New Roman"/>
      <w:b/>
    </w:rPr>
  </w:style>
  <w:style w:type="paragraph" w:styleId="berschrift8">
    <w:name w:val="heading 8"/>
    <w:basedOn w:val="Standard"/>
    <w:next w:val="Textabsatz"/>
    <w:uiPriority w:val="99"/>
    <w:qFormat/>
    <w:pPr>
      <w:numPr>
        <w:ilvl w:val="7"/>
        <w:numId w:val="1"/>
      </w:numPr>
      <w:spacing w:before="240" w:after="60"/>
      <w:outlineLvl w:val="7"/>
    </w:pPr>
    <w:rPr>
      <w:rFonts w:cs="Times New Roman"/>
      <w:b/>
      <w:iCs/>
    </w:rPr>
  </w:style>
  <w:style w:type="paragraph" w:styleId="berschrift9">
    <w:name w:val="heading 9"/>
    <w:basedOn w:val="Standard"/>
    <w:next w:val="Textabsatz"/>
    <w:uiPriority w:val="99"/>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 w:type="paragraph" w:customStyle="1" w:styleId="StAbsatz">
    <w:name w:val="St_Absatz"/>
    <w:rsid w:val="0053785F"/>
    <w:pPr>
      <w:suppressAutoHyphens/>
      <w:overflowPunct w:val="0"/>
      <w:autoSpaceDE w:val="0"/>
      <w:spacing w:after="220" w:line="360" w:lineRule="auto"/>
      <w:ind w:left="709"/>
      <w:jc w:val="both"/>
      <w:textAlignment w:val="baseline"/>
    </w:pPr>
    <w:rPr>
      <w:rFonts w:ascii="Arial" w:eastAsia="Calibri" w:hAnsi="Arial" w:cs="Arial"/>
      <w:sz w:val="22"/>
      <w:szCs w:val="22"/>
      <w:lang w:eastAsia="ar-SA"/>
    </w:rPr>
  </w:style>
  <w:style w:type="paragraph" w:customStyle="1" w:styleId="Beschriftung1">
    <w:name w:val="Beschriftung1"/>
    <w:basedOn w:val="Standard"/>
    <w:next w:val="Standard"/>
    <w:rsid w:val="0053785F"/>
    <w:pPr>
      <w:suppressAutoHyphens/>
      <w:overflowPunct w:val="0"/>
      <w:autoSpaceDE w:val="0"/>
      <w:spacing w:after="120" w:line="240" w:lineRule="auto"/>
      <w:jc w:val="left"/>
      <w:textAlignment w:val="baseline"/>
    </w:pPr>
    <w:rPr>
      <w:rFonts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C4E1-492E-4966-A9AA-CCCBB412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9E6D2-B2A0-4A43-BD2D-27D14C5A0580}">
  <ds:schemaRefs>
    <ds:schemaRef ds:uri="http://schemas.microsoft.com/sharepoint/v3/contenttype/forms"/>
  </ds:schemaRefs>
</ds:datastoreItem>
</file>

<file path=customXml/itemProps3.xml><?xml version="1.0" encoding="utf-8"?>
<ds:datastoreItem xmlns:ds="http://schemas.openxmlformats.org/officeDocument/2006/customXml" ds:itemID="{73710668-8189-450B-B025-941C60EA6141}">
  <ds:schemaRefs>
    <ds:schemaRef ds:uri="http://purl.org/dc/terms/"/>
    <ds:schemaRef ds:uri="a929fe52-9776-443b-b66b-bbb10704a627"/>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ca5e2d-d0e9-4509-9614-ecd41fabec9d"/>
    <ds:schemaRef ds:uri="http://www.w3.org/XML/1998/namespace"/>
  </ds:schemaRefs>
</ds:datastoreItem>
</file>

<file path=customXml/itemProps4.xml><?xml version="1.0" encoding="utf-8"?>
<ds:datastoreItem xmlns:ds="http://schemas.openxmlformats.org/officeDocument/2006/customXml" ds:itemID="{A996AD32-5FD0-4722-9C08-E0C878DD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17187</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2</cp:revision>
  <cp:lastPrinted>2017-06-30T12:45:00Z</cp:lastPrinted>
  <dcterms:created xsi:type="dcterms:W3CDTF">2023-10-16T09:16:00Z</dcterms:created>
  <dcterms:modified xsi:type="dcterms:W3CDTF">2023-10-16T09:16:00Z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