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BD" w:rsidRDefault="001A24BD" w:rsidP="008E7545">
      <w:pPr>
        <w:pStyle w:val="berschrift1"/>
        <w:numPr>
          <w:ilvl w:val="0"/>
          <w:numId w:val="0"/>
        </w:numPr>
        <w:ind w:left="1418" w:hanging="1418"/>
        <w:rPr>
          <w:noProof/>
          <w:szCs w:val="28"/>
        </w:rPr>
      </w:pPr>
      <w:bookmarkStart w:id="0" w:name="_Toc2861866"/>
      <w:bookmarkStart w:id="1" w:name="_Toc310849022"/>
      <w:r>
        <w:rPr>
          <w:noProof/>
          <w:szCs w:val="28"/>
        </w:rPr>
        <w:t>Teil B</w:t>
      </w:r>
      <w:r>
        <w:rPr>
          <w:noProof/>
          <w:szCs w:val="28"/>
        </w:rPr>
        <w:tab/>
        <w:t>Besondere Anforderungen an die Fremprüfung der Systemkomponenten</w:t>
      </w:r>
      <w:bookmarkEnd w:id="0"/>
    </w:p>
    <w:p w:rsidR="00FB7D92" w:rsidRDefault="00395E0C" w:rsidP="00395E0C">
      <w:pPr>
        <w:pStyle w:val="berschrift1"/>
        <w:numPr>
          <w:ilvl w:val="0"/>
          <w:numId w:val="0"/>
        </w:numPr>
        <w:rPr>
          <w:noProof/>
          <w:szCs w:val="28"/>
        </w:rPr>
      </w:pPr>
      <w:bookmarkStart w:id="2" w:name="_Toc2861867"/>
      <w:r>
        <w:rPr>
          <w:noProof/>
          <w:szCs w:val="28"/>
        </w:rPr>
        <w:t>B2</w:t>
      </w:r>
      <w:r>
        <w:rPr>
          <w:noProof/>
          <w:szCs w:val="28"/>
        </w:rPr>
        <w:tab/>
      </w:r>
      <w:r>
        <w:rPr>
          <w:noProof/>
          <w:szCs w:val="28"/>
        </w:rPr>
        <w:tab/>
      </w:r>
      <w:r w:rsidR="00FB7D92" w:rsidRPr="001A24BD">
        <w:rPr>
          <w:noProof/>
          <w:szCs w:val="28"/>
        </w:rPr>
        <w:t>Oberflächenabdichtung</w:t>
      </w:r>
      <w:bookmarkEnd w:id="1"/>
      <w:bookmarkEnd w:id="2"/>
    </w:p>
    <w:p w:rsidR="00252FB2" w:rsidRPr="00252FB2" w:rsidRDefault="00252FB2" w:rsidP="00252FB2">
      <w:pPr>
        <w:pStyle w:val="Textabsatz"/>
      </w:pPr>
    </w:p>
    <w:p w:rsidR="00FB7D92" w:rsidRDefault="00F135BD" w:rsidP="00925A6D">
      <w:pPr>
        <w:pStyle w:val="berschrift1"/>
      </w:pPr>
      <w:r>
        <w:t>Geotextilien zum Filtern und Trennen (GT-FT)</w:t>
      </w:r>
    </w:p>
    <w:p w:rsidR="0068452A" w:rsidRDefault="00F135BD" w:rsidP="00715CE1">
      <w:pPr>
        <w:pStyle w:val="berschrift2"/>
      </w:pPr>
      <w:r>
        <w:t>Allgemeines GT-FT</w:t>
      </w:r>
    </w:p>
    <w:p w:rsidR="00F135BD" w:rsidRDefault="00F135BD" w:rsidP="00F135BD">
      <w:pPr>
        <w:pStyle w:val="Textabsatz"/>
      </w:pPr>
      <w:r>
        <w:t xml:space="preserve">Dieser Abschnitt des Qualitätsmanagementplans ist entsprechend der “BAM-Richtlinie Fremdprüfer“ bezieht sich auf das Herstellen, Einbauen und Überbauen der Geotextilien zum Filtern </w:t>
      </w:r>
      <w:r w:rsidR="00EA4173">
        <w:t>und Trennen (GT-FT</w:t>
      </w:r>
      <w:r>
        <w:t>) und beschreibt die projektbezogenen Maßnahmen der Qual</w:t>
      </w:r>
      <w:r>
        <w:t>i</w:t>
      </w:r>
      <w:r>
        <w:t>tätsüberwachung im Rahmen der Eigenüberwachung, Eigenprüfung und Fremdprüfung.</w:t>
      </w:r>
    </w:p>
    <w:p w:rsidR="00F135BD" w:rsidRDefault="00414BE3" w:rsidP="00F135BD">
      <w:pPr>
        <w:pStyle w:val="Textabsatz"/>
      </w:pPr>
      <w:r>
        <w:t>Hierdurch</w:t>
      </w:r>
      <w:r w:rsidR="00F135BD">
        <w:t xml:space="preserve"> soll die</w:t>
      </w:r>
      <w:r>
        <w:t xml:space="preserve"> fach- und anforderungsgerechte </w:t>
      </w:r>
      <w:r w:rsidR="00F135BD">
        <w:t>Ausführu</w:t>
      </w:r>
      <w:r>
        <w:t>ng, Wirksamkeit und Funktion der Geotextilien im Dichtungssystem</w:t>
      </w:r>
      <w:r w:rsidR="00F135BD">
        <w:t xml:space="preserve"> sichergestellt werden.</w:t>
      </w:r>
    </w:p>
    <w:p w:rsidR="00F135BD" w:rsidRDefault="00F135BD" w:rsidP="00F135BD">
      <w:pPr>
        <w:pStyle w:val="Textabsatz"/>
      </w:pPr>
      <w:r>
        <w:t>Die nachfolgend genannten Vorgaben sind im Rahm</w:t>
      </w:r>
      <w:r w:rsidR="00414BE3">
        <w:t xml:space="preserve">en der Qualitätsüberwachung als </w:t>
      </w:r>
      <w:r>
        <w:t>ve</w:t>
      </w:r>
      <w:r>
        <w:t>r</w:t>
      </w:r>
      <w:r>
        <w:t>bindlicher Mindestumfang zur Erfüllung der Anforderung</w:t>
      </w:r>
      <w:r w:rsidR="00414BE3">
        <w:t xml:space="preserve">en beim Einbau der Geotextilien </w:t>
      </w:r>
      <w:r>
        <w:t>gemäß der jeweiligen BAM-Zulassung umzusetzen.</w:t>
      </w:r>
    </w:p>
    <w:p w:rsidR="00F135BD" w:rsidRDefault="00F135BD" w:rsidP="00F135BD">
      <w:pPr>
        <w:pStyle w:val="Textabsatz"/>
      </w:pPr>
      <w:r>
        <w:t>Hinweise:</w:t>
      </w:r>
    </w:p>
    <w:p w:rsidR="00414BE3" w:rsidRDefault="00F135BD" w:rsidP="00F135BD">
      <w:pPr>
        <w:pStyle w:val="Textabsatz"/>
      </w:pPr>
      <w:r>
        <w:t>Die Geotextilien werden nur dann im Sinne der BAM-Zulassung eingebaut, wenn die Vorg</w:t>
      </w:r>
      <w:r>
        <w:t>a</w:t>
      </w:r>
      <w:r w:rsidR="00414BE3">
        <w:t xml:space="preserve">ben </w:t>
      </w:r>
      <w:r>
        <w:t xml:space="preserve">der folgenden </w:t>
      </w:r>
      <w:r w:rsidR="00414BE3">
        <w:t>BAM-Richtlinien erfüllt werden:</w:t>
      </w:r>
    </w:p>
    <w:p w:rsidR="00F135BD" w:rsidRDefault="00F135BD" w:rsidP="00F135BD">
      <w:pPr>
        <w:pStyle w:val="Textabsatz"/>
        <w:numPr>
          <w:ilvl w:val="0"/>
          <w:numId w:val="33"/>
        </w:numPr>
      </w:pPr>
      <w:r>
        <w:t>Richtlinie für die Zulassung von Geotextilien zum Filtern und Trennen für Deponi</w:t>
      </w:r>
      <w:r>
        <w:t>e</w:t>
      </w:r>
      <w:r>
        <w:t>oberflächenabdichtungen</w:t>
      </w:r>
      <w:r w:rsidR="00414BE3">
        <w:t xml:space="preserve"> </w:t>
      </w:r>
      <w:r>
        <w:t>(“BAM-Richtlinie Geotextilien FT“)</w:t>
      </w:r>
    </w:p>
    <w:p w:rsidR="00F135BD" w:rsidRDefault="00F135BD" w:rsidP="00F135BD">
      <w:pPr>
        <w:pStyle w:val="Textabsatz"/>
        <w:numPr>
          <w:ilvl w:val="0"/>
          <w:numId w:val="33"/>
        </w:numPr>
      </w:pPr>
      <w:r>
        <w:t>Richtlinie für die Anforderungen an Fachbetriebe für den Einbau von Kunststoffdic</w:t>
      </w:r>
      <w:r>
        <w:t>h</w:t>
      </w:r>
      <w:r>
        <w:t>tungsbahnen,</w:t>
      </w:r>
      <w:r w:rsidR="00414BE3">
        <w:t xml:space="preserve"> </w:t>
      </w:r>
      <w:r>
        <w:t>weiteren Geokunststoffen und Kunststoffbauteilen in Deponieabdic</w:t>
      </w:r>
      <w:r>
        <w:t>h</w:t>
      </w:r>
      <w:r>
        <w:t>tungssystemen</w:t>
      </w:r>
      <w:r w:rsidR="00414BE3">
        <w:t xml:space="preserve"> </w:t>
      </w:r>
      <w:r>
        <w:t>(“BAM-Richtlinie Fachbetriebe“)</w:t>
      </w:r>
    </w:p>
    <w:p w:rsidR="00F135BD" w:rsidRDefault="00F135BD" w:rsidP="00F135BD">
      <w:pPr>
        <w:pStyle w:val="Textabsatz"/>
        <w:numPr>
          <w:ilvl w:val="0"/>
          <w:numId w:val="33"/>
        </w:numPr>
      </w:pPr>
      <w:r>
        <w:t>Richtlinie für die Anforderungen an die Qualifikation und die Aufgaben einer frem</w:t>
      </w:r>
      <w:r>
        <w:t>d</w:t>
      </w:r>
      <w:r>
        <w:t>prüfenden</w:t>
      </w:r>
      <w:r w:rsidR="00414BE3">
        <w:t xml:space="preserve"> </w:t>
      </w:r>
      <w:r>
        <w:t>Stelle für Kunststoffkomponenten im Deponiebau (“BAM-Richtlinie Frem</w:t>
      </w:r>
      <w:r>
        <w:t>d</w:t>
      </w:r>
      <w:r>
        <w:t>prüfer“)</w:t>
      </w:r>
      <w:r w:rsidR="00414BE3">
        <w:t xml:space="preserve"> </w:t>
      </w:r>
      <w:r>
        <w:t xml:space="preserve">oder Bundeseinheitlicher Qualitätsstandards 9-1 “Qualitätsmanagement </w:t>
      </w:r>
      <w:r w:rsidR="00414BE3">
        <w:t>–</w:t>
      </w:r>
      <w:r>
        <w:t xml:space="preserve"> Fremdprüfung</w:t>
      </w:r>
      <w:r w:rsidR="00414BE3">
        <w:t xml:space="preserve"> </w:t>
      </w:r>
      <w:r>
        <w:t>beim Einbau mineralischer Baustoffe in Deponieabdichtungssystemen“ (BQS</w:t>
      </w:r>
      <w:r w:rsidR="00414BE3">
        <w:t xml:space="preserve"> </w:t>
      </w:r>
      <w:r>
        <w:t>9-1) für die Fremdprüfung an „Geotextilien zum Filtern und Trennen“</w:t>
      </w:r>
    </w:p>
    <w:p w:rsidR="00D35EE6" w:rsidRDefault="00F135BD" w:rsidP="00F135BD">
      <w:pPr>
        <w:pStyle w:val="Textabsatz"/>
        <w:numPr>
          <w:ilvl w:val="0"/>
          <w:numId w:val="33"/>
        </w:numPr>
      </w:pPr>
      <w:r>
        <w:t>Der beauftragte Fremdprüfer</w:t>
      </w:r>
      <w:r w:rsidR="00414BE3">
        <w:t xml:space="preserve"> </w:t>
      </w:r>
      <w:r>
        <w:t>muss entweder entsprechend der BAM-Richtlinie “Fremdprüfer“ oder nach den Vorgaben</w:t>
      </w:r>
      <w:r w:rsidR="00414BE3">
        <w:t xml:space="preserve"> </w:t>
      </w:r>
      <w:r>
        <w:t>des Bundeseinheitlichen Qualitätsstandards 9-1 “Qualitätsma</w:t>
      </w:r>
      <w:r>
        <w:lastRenderedPageBreak/>
        <w:t xml:space="preserve">nagement </w:t>
      </w:r>
      <w:r w:rsidR="00414BE3">
        <w:t>–</w:t>
      </w:r>
      <w:r>
        <w:t xml:space="preserve"> Fremdprüfung</w:t>
      </w:r>
      <w:r w:rsidR="00414BE3">
        <w:t xml:space="preserve"> </w:t>
      </w:r>
      <w:r>
        <w:t>beim Einbau mineralischer Baustoffe in Deponieabdic</w:t>
      </w:r>
      <w:r>
        <w:t>h</w:t>
      </w:r>
      <w:r>
        <w:t>tungssystemen“ (BQS 9-1) für die</w:t>
      </w:r>
      <w:r w:rsidR="00414BE3">
        <w:t xml:space="preserve"> </w:t>
      </w:r>
      <w:r>
        <w:t>Fremdprüfung an „Geotextilien zum Filtern und Trennen“ akkreditiert sein.</w:t>
      </w:r>
    </w:p>
    <w:p w:rsidR="003B6C05" w:rsidRPr="003B6C05" w:rsidRDefault="003B6C05" w:rsidP="003B6C05">
      <w:pPr>
        <w:pStyle w:val="Textabsatz"/>
        <w:numPr>
          <w:ilvl w:val="0"/>
          <w:numId w:val="33"/>
        </w:numPr>
      </w:pPr>
      <w:r>
        <w:t>Der beauftragte Fachbetrieb (Verleger) muss entsprechend der “BAM-Richtlinie Fachbetriebe“ Mitglied der Güteüberwachungsorganisation eines Fachverbandes sein und von der Güteüberwachungsorganisation überwacht werden</w:t>
      </w:r>
      <w:r>
        <w:t xml:space="preserve"> (Ausnahme si</w:t>
      </w:r>
      <w:r>
        <w:t>e</w:t>
      </w:r>
      <w:r>
        <w:t>he K</w:t>
      </w:r>
      <w:r>
        <w:t>a</w:t>
      </w:r>
      <w:r>
        <w:t xml:space="preserve">pitel 1.5.2 </w:t>
      </w:r>
      <w:r w:rsidRPr="003B6C05">
        <w:t>Verlegen GT-FT</w:t>
      </w:r>
      <w:r>
        <w:t>)</w:t>
      </w:r>
      <w:bookmarkStart w:id="3" w:name="_GoBack"/>
      <w:bookmarkEnd w:id="3"/>
    </w:p>
    <w:p w:rsidR="003B6C05" w:rsidRPr="00C55491" w:rsidRDefault="003B6C05" w:rsidP="003B6C05">
      <w:pPr>
        <w:pStyle w:val="Textabsatz"/>
      </w:pPr>
    </w:p>
    <w:p w:rsidR="00FE1AD2" w:rsidRDefault="0033719D" w:rsidP="00925A6D">
      <w:pPr>
        <w:pStyle w:val="berschrift2"/>
      </w:pPr>
      <w:r>
        <w:t>Probefeld</w:t>
      </w:r>
    </w:p>
    <w:p w:rsidR="00FE1AD2" w:rsidRDefault="00C55095" w:rsidP="00C55095">
      <w:pPr>
        <w:pStyle w:val="Textabsatz"/>
      </w:pPr>
      <w:r w:rsidRPr="00C55095">
        <w:t xml:space="preserve">Vor Baubeginn ist im Beisein des Fremdprüfers ein </w:t>
      </w:r>
      <w:r w:rsidR="0033719D">
        <w:t>Probefeld</w:t>
      </w:r>
      <w:r w:rsidR="00414BE3">
        <w:t xml:space="preserve"> zum Bau der GT-FT</w:t>
      </w:r>
      <w:r>
        <w:t xml:space="preserve"> </w:t>
      </w:r>
      <w:r w:rsidRPr="00C55095">
        <w:t>anzul</w:t>
      </w:r>
      <w:r w:rsidRPr="00C55095">
        <w:t>e</w:t>
      </w:r>
      <w:r w:rsidRPr="00C55095">
        <w:t xml:space="preserve">gen. </w:t>
      </w:r>
      <w:r>
        <w:t xml:space="preserve">Zum Bau des </w:t>
      </w:r>
      <w:r w:rsidR="0033719D">
        <w:t>Probefeld</w:t>
      </w:r>
      <w:r>
        <w:t xml:space="preserve">s ist im Vorfeld </w:t>
      </w:r>
      <w:r w:rsidR="000F114E">
        <w:t>ein</w:t>
      </w:r>
      <w:r>
        <w:t xml:space="preserve"> Verlegekonzept </w:t>
      </w:r>
      <w:r w:rsidR="00414BE3">
        <w:t>GT-FT</w:t>
      </w:r>
      <w:r>
        <w:t xml:space="preserve"> zu erstellen. </w:t>
      </w:r>
      <w:r w:rsidRPr="00C55095">
        <w:t>Auf der Grundlage der E</w:t>
      </w:r>
      <w:r>
        <w:t xml:space="preserve">rgebnisse aus dem Probefeld ist </w:t>
      </w:r>
      <w:r w:rsidRPr="00C55095">
        <w:t>von der bauausführenden Firma ein Ei</w:t>
      </w:r>
      <w:r w:rsidRPr="00C55095">
        <w:t>n</w:t>
      </w:r>
      <w:r w:rsidRPr="00C55095">
        <w:t xml:space="preserve">baukonzept </w:t>
      </w:r>
      <w:r>
        <w:t xml:space="preserve">für </w:t>
      </w:r>
      <w:r w:rsidR="00414BE3">
        <w:t>die GT-FT</w:t>
      </w:r>
      <w:r>
        <w:t xml:space="preserve"> </w:t>
      </w:r>
      <w:r w:rsidRPr="00C55095">
        <w:t>aufzustellen und dem Fremdprüfer vorzulegen. Der Fremdpr</w:t>
      </w:r>
      <w:r w:rsidRPr="00C55095">
        <w:t>ü</w:t>
      </w:r>
      <w:r>
        <w:t xml:space="preserve">fer beurteilt das Einbaukonzept </w:t>
      </w:r>
      <w:r w:rsidRPr="00C55095">
        <w:t>und legt es der zuständigen Behörde zur Freigabe vor.</w:t>
      </w:r>
    </w:p>
    <w:p w:rsidR="00C55095" w:rsidRDefault="00C55095" w:rsidP="00C55095">
      <w:pPr>
        <w:pStyle w:val="Textabsatz"/>
      </w:pPr>
      <w:r>
        <w:t xml:space="preserve">Im </w:t>
      </w:r>
      <w:r w:rsidR="0033719D">
        <w:t>Probefeld</w:t>
      </w:r>
      <w:r>
        <w:t xml:space="preserve"> ist der Einbau der </w:t>
      </w:r>
      <w:r w:rsidR="00414BE3">
        <w:t>GT-FT</w:t>
      </w:r>
      <w:r>
        <w:t xml:space="preserve"> mit den geplanten Baugeräten gemäß den nachfo</w:t>
      </w:r>
      <w:r>
        <w:t>l</w:t>
      </w:r>
      <w:r>
        <w:t xml:space="preserve">genden Kapiteln nachzuweisen. Es müssen mindestens </w:t>
      </w:r>
      <w:r w:rsidR="000F114E">
        <w:t>2</w:t>
      </w:r>
      <w:r>
        <w:t xml:space="preserve"> Bahnen </w:t>
      </w:r>
      <w:r w:rsidR="00414BE3">
        <w:t>GT-FT</w:t>
      </w:r>
      <w:r>
        <w:t xml:space="preserve"> verlegt werden. Laborprüfungen werden für das </w:t>
      </w:r>
      <w:r w:rsidR="0033719D">
        <w:t>Probefeld</w:t>
      </w:r>
      <w:r>
        <w:t xml:space="preserve"> </w:t>
      </w:r>
      <w:r w:rsidR="00414BE3">
        <w:t>GT-FT</w:t>
      </w:r>
      <w:r>
        <w:t xml:space="preserve"> nicht erforderlich.</w:t>
      </w:r>
      <w:r w:rsidR="00DB0F8B">
        <w:t xml:space="preserve"> </w:t>
      </w:r>
      <w:r w:rsidR="000F114E">
        <w:t xml:space="preserve">Vor dem Bau des </w:t>
      </w:r>
      <w:r w:rsidR="0033719D">
        <w:t>Prob</w:t>
      </w:r>
      <w:r w:rsidR="0033719D">
        <w:t>e</w:t>
      </w:r>
      <w:r w:rsidR="0033719D">
        <w:t>feld</w:t>
      </w:r>
      <w:r w:rsidR="000F114E">
        <w:t>s sind die Eignungsnachweise vorzulegen und durch die FP freizugeben.</w:t>
      </w:r>
    </w:p>
    <w:p w:rsidR="00EA4173" w:rsidRDefault="00EA4173" w:rsidP="00C55095">
      <w:pPr>
        <w:pStyle w:val="Textabsatz"/>
      </w:pPr>
      <w:r>
        <w:t xml:space="preserve">Bei Baumaßnahmen mit fehlender großflächiger Verlegung von GT-FT kann der Bau eines </w:t>
      </w:r>
      <w:r w:rsidR="0033719D">
        <w:t>Probefeld</w:t>
      </w:r>
      <w:r>
        <w:t>es eventuell entfallen.</w:t>
      </w:r>
    </w:p>
    <w:p w:rsidR="000F114E" w:rsidRDefault="000F114E" w:rsidP="00C55095">
      <w:pPr>
        <w:pStyle w:val="Textabsatz"/>
      </w:pPr>
    </w:p>
    <w:p w:rsidR="000F114E" w:rsidRDefault="000F114E" w:rsidP="000F114E">
      <w:pPr>
        <w:pStyle w:val="berschrift2"/>
      </w:pPr>
      <w:r>
        <w:t>Eignungsnachweise</w:t>
      </w:r>
    </w:p>
    <w:p w:rsidR="00DB0F8B" w:rsidRPr="002B6463" w:rsidRDefault="0053785F" w:rsidP="002B6463">
      <w:pPr>
        <w:pStyle w:val="Textabsatz"/>
      </w:pPr>
      <w:r w:rsidRPr="002B6463">
        <w:t xml:space="preserve">Für die zum Einbau vorgesehenen </w:t>
      </w:r>
      <w:r w:rsidR="00EA4173">
        <w:t>Geotextilien zum Filtern und Trennen (GT-FT)</w:t>
      </w:r>
      <w:r w:rsidR="002B6463" w:rsidRPr="002B6463">
        <w:t>sind die Eignungsnachweise gemäß der nachfolgenden Tabelle vorzulegen</w:t>
      </w:r>
      <w:r w:rsidRPr="002B6463">
        <w:t>. Die Eig</w:t>
      </w:r>
      <w:r w:rsidR="002B6463" w:rsidRPr="002B6463">
        <w:t>nungsnachweise</w:t>
      </w:r>
      <w:r w:rsidRPr="002B6463">
        <w:t xml:space="preserve"> </w:t>
      </w:r>
      <w:r w:rsidR="002B6463" w:rsidRPr="002B6463">
        <w:t>mü</w:t>
      </w:r>
      <w:r w:rsidRPr="002B6463">
        <w:t>ss</w:t>
      </w:r>
      <w:r w:rsidR="002B6463" w:rsidRPr="002B6463">
        <w:t>en</w:t>
      </w:r>
      <w:r w:rsidRPr="002B6463">
        <w:t xml:space="preserve"> einschließlich aller Anlagen ab Baubeginn auf der Baustelle vorliegen.</w:t>
      </w:r>
    </w:p>
    <w:p w:rsidR="0033719D" w:rsidRDefault="0033719D">
      <w:pPr>
        <w:spacing w:before="0" w:line="240" w:lineRule="auto"/>
        <w:jc w:val="left"/>
        <w:rPr>
          <w:rFonts w:cs="Times New Roman"/>
          <w:b/>
          <w:szCs w:val="20"/>
          <w:lang w:eastAsia="ar-SA"/>
        </w:rPr>
      </w:pPr>
      <w:r>
        <w:br w:type="page"/>
      </w:r>
    </w:p>
    <w:p w:rsidR="0053785F" w:rsidRDefault="0053785F" w:rsidP="0053785F">
      <w:pPr>
        <w:pStyle w:val="Beschriftung1"/>
        <w:tabs>
          <w:tab w:val="left" w:pos="1418"/>
        </w:tabs>
        <w:spacing w:before="0"/>
        <w:rPr>
          <w:sz w:val="22"/>
        </w:rPr>
      </w:pPr>
    </w:p>
    <w:p w:rsidR="0053785F" w:rsidRPr="0033719D" w:rsidRDefault="0053785F" w:rsidP="0033719D">
      <w:pPr>
        <w:pStyle w:val="Beschriftung1"/>
        <w:tabs>
          <w:tab w:val="left" w:pos="1418"/>
        </w:tabs>
        <w:spacing w:before="0"/>
        <w:rPr>
          <w:sz w:val="22"/>
        </w:rPr>
      </w:pPr>
      <w:r>
        <w:rPr>
          <w:sz w:val="22"/>
        </w:rPr>
        <w:t xml:space="preserve">Tabelle X: </w:t>
      </w:r>
      <w:r w:rsidRPr="00DC0747">
        <w:rPr>
          <w:sz w:val="22"/>
        </w:rPr>
        <w:t xml:space="preserve">Aufstellung der zu erbringenden Nachweise und Unterlagen der </w:t>
      </w:r>
      <w:r w:rsidR="00414BE3">
        <w:rPr>
          <w:sz w:val="22"/>
        </w:rPr>
        <w:t>GT-FT</w:t>
      </w:r>
    </w:p>
    <w:tbl>
      <w:tblPr>
        <w:tblW w:w="9382" w:type="dxa"/>
        <w:tblInd w:w="71" w:type="dxa"/>
        <w:tblLayout w:type="fixed"/>
        <w:tblCellMar>
          <w:left w:w="71" w:type="dxa"/>
          <w:right w:w="71" w:type="dxa"/>
        </w:tblCellMar>
        <w:tblLook w:val="0000" w:firstRow="0" w:lastRow="0" w:firstColumn="0" w:lastColumn="0" w:noHBand="0" w:noVBand="0"/>
      </w:tblPr>
      <w:tblGrid>
        <w:gridCol w:w="709"/>
        <w:gridCol w:w="6637"/>
        <w:gridCol w:w="2036"/>
      </w:tblGrid>
      <w:tr w:rsidR="0053785F" w:rsidRPr="00A50357" w:rsidTr="00EA4173">
        <w:trPr>
          <w:tblHeader/>
        </w:trPr>
        <w:tc>
          <w:tcPr>
            <w:tcW w:w="7346" w:type="dxa"/>
            <w:gridSpan w:val="2"/>
            <w:tcBorders>
              <w:top w:val="double" w:sz="2" w:space="0" w:color="000000"/>
              <w:left w:val="double" w:sz="2" w:space="0" w:color="000000"/>
              <w:bottom w:val="double" w:sz="1" w:space="0" w:color="000000"/>
            </w:tcBorders>
          </w:tcPr>
          <w:p w:rsidR="0053785F" w:rsidRPr="00C14ED0" w:rsidRDefault="00C14ED0" w:rsidP="00183D60">
            <w:pPr>
              <w:tabs>
                <w:tab w:val="left" w:pos="6804"/>
              </w:tabs>
              <w:snapToGrid w:val="0"/>
              <w:spacing w:before="40" w:after="40"/>
              <w:rPr>
                <w:b/>
              </w:rPr>
            </w:pPr>
            <w:r w:rsidRPr="00C14ED0">
              <w:rPr>
                <w:b/>
              </w:rPr>
              <w:t>Geotextilien zum Filtern und Trennen (GT-FT)</w:t>
            </w:r>
          </w:p>
        </w:tc>
        <w:tc>
          <w:tcPr>
            <w:tcW w:w="2036" w:type="dxa"/>
            <w:tcBorders>
              <w:top w:val="double" w:sz="2" w:space="0" w:color="000000"/>
              <w:left w:val="single" w:sz="4" w:space="0" w:color="000000"/>
              <w:bottom w:val="double" w:sz="1" w:space="0" w:color="000000"/>
              <w:right w:val="double" w:sz="2" w:space="0" w:color="000000"/>
            </w:tcBorders>
          </w:tcPr>
          <w:p w:rsidR="0053785F" w:rsidRPr="00A50357" w:rsidRDefault="0053785F" w:rsidP="00183D60">
            <w:pPr>
              <w:tabs>
                <w:tab w:val="left" w:pos="6804"/>
              </w:tabs>
              <w:snapToGrid w:val="0"/>
              <w:spacing w:before="40" w:after="40"/>
              <w:rPr>
                <w:sz w:val="20"/>
              </w:rPr>
            </w:pPr>
            <w:r w:rsidRPr="00A50357">
              <w:rPr>
                <w:sz w:val="20"/>
              </w:rPr>
              <w:t>vorzulegen bis</w:t>
            </w:r>
          </w:p>
        </w:tc>
      </w:tr>
      <w:tr w:rsidR="0053785F" w:rsidRPr="00A50357" w:rsidTr="00EA4173">
        <w:tc>
          <w:tcPr>
            <w:tcW w:w="709" w:type="dxa"/>
            <w:tcBorders>
              <w:left w:val="double" w:sz="2" w:space="0" w:color="000000"/>
              <w:bottom w:val="single" w:sz="4"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0</w:t>
            </w:r>
          </w:p>
        </w:tc>
        <w:tc>
          <w:tcPr>
            <w:tcW w:w="6637" w:type="dxa"/>
            <w:tcBorders>
              <w:left w:val="single" w:sz="4" w:space="0" w:color="000000"/>
              <w:bottom w:val="single" w:sz="4" w:space="0" w:color="000000"/>
            </w:tcBorders>
          </w:tcPr>
          <w:p w:rsidR="0053785F" w:rsidRPr="00FE072D" w:rsidRDefault="0053785F" w:rsidP="00183D60">
            <w:pPr>
              <w:tabs>
                <w:tab w:val="left" w:pos="1631"/>
                <w:tab w:val="left" w:pos="6804"/>
              </w:tabs>
              <w:snapToGrid w:val="0"/>
              <w:spacing w:after="40"/>
              <w:jc w:val="left"/>
              <w:rPr>
                <w:b/>
                <w:sz w:val="20"/>
                <w:szCs w:val="20"/>
              </w:rPr>
            </w:pPr>
            <w:r w:rsidRPr="00FE072D">
              <w:rPr>
                <w:b/>
                <w:sz w:val="20"/>
                <w:szCs w:val="20"/>
              </w:rPr>
              <w:t>Hersteller:</w:t>
            </w:r>
            <w:r w:rsidRPr="00FE072D">
              <w:rPr>
                <w:b/>
                <w:sz w:val="20"/>
                <w:szCs w:val="20"/>
              </w:rPr>
              <w:tab/>
            </w:r>
            <w:r w:rsidRPr="00FE072D">
              <w:rPr>
                <w:sz w:val="20"/>
                <w:szCs w:val="20"/>
              </w:rPr>
              <w:br/>
            </w:r>
            <w:r w:rsidRPr="00FE072D">
              <w:rPr>
                <w:b/>
                <w:sz w:val="20"/>
                <w:szCs w:val="20"/>
              </w:rPr>
              <w:t xml:space="preserve">Bezeichnung: </w:t>
            </w:r>
            <w:r w:rsidRPr="00FE072D">
              <w:rPr>
                <w:b/>
                <w:sz w:val="20"/>
                <w:szCs w:val="20"/>
              </w:rPr>
              <w:tab/>
            </w:r>
          </w:p>
        </w:tc>
        <w:tc>
          <w:tcPr>
            <w:tcW w:w="2036" w:type="dxa"/>
            <w:tcBorders>
              <w:left w:val="single" w:sz="4" w:space="0" w:color="000000"/>
              <w:bottom w:val="single" w:sz="4" w:space="0" w:color="000000"/>
              <w:right w:val="double" w:sz="2" w:space="0" w:color="000000"/>
            </w:tcBorders>
          </w:tcPr>
          <w:p w:rsidR="0053785F" w:rsidRPr="00FE072D" w:rsidRDefault="0053785F" w:rsidP="00183D60">
            <w:pPr>
              <w:tabs>
                <w:tab w:val="left" w:pos="6804"/>
              </w:tabs>
              <w:snapToGrid w:val="0"/>
              <w:spacing w:after="40"/>
              <w:rPr>
                <w:sz w:val="20"/>
                <w:szCs w:val="20"/>
              </w:rPr>
            </w:pPr>
          </w:p>
        </w:tc>
      </w:tr>
      <w:tr w:rsidR="0053785F" w:rsidRPr="00A50357" w:rsidTr="00EA4173">
        <w:tc>
          <w:tcPr>
            <w:tcW w:w="709" w:type="dxa"/>
            <w:tcBorders>
              <w:left w:val="double" w:sz="2" w:space="0" w:color="000000"/>
              <w:bottom w:val="single" w:sz="4"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1</w:t>
            </w:r>
          </w:p>
        </w:tc>
        <w:tc>
          <w:tcPr>
            <w:tcW w:w="6637" w:type="dxa"/>
            <w:tcBorders>
              <w:left w:val="single" w:sz="4" w:space="0" w:color="000000"/>
              <w:bottom w:val="single" w:sz="4" w:space="0" w:color="000000"/>
            </w:tcBorders>
          </w:tcPr>
          <w:p w:rsidR="0053785F" w:rsidRPr="00FE072D" w:rsidRDefault="00EA4173" w:rsidP="00183D60">
            <w:pPr>
              <w:tabs>
                <w:tab w:val="left" w:pos="6804"/>
              </w:tabs>
              <w:snapToGrid w:val="0"/>
              <w:spacing w:before="40" w:after="40"/>
              <w:jc w:val="left"/>
              <w:rPr>
                <w:sz w:val="20"/>
                <w:szCs w:val="20"/>
              </w:rPr>
            </w:pPr>
            <w:r>
              <w:rPr>
                <w:sz w:val="20"/>
                <w:szCs w:val="20"/>
              </w:rPr>
              <w:t>BAM-Zulassung</w:t>
            </w:r>
          </w:p>
        </w:tc>
        <w:tc>
          <w:tcPr>
            <w:tcW w:w="2036" w:type="dxa"/>
            <w:tcBorders>
              <w:left w:val="single" w:sz="4" w:space="0" w:color="000000"/>
              <w:bottom w:val="single" w:sz="4" w:space="0" w:color="000000"/>
              <w:right w:val="double" w:sz="2"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2 Wochen vor Ba</w:t>
            </w:r>
            <w:r w:rsidRPr="00FE072D">
              <w:rPr>
                <w:sz w:val="20"/>
                <w:szCs w:val="20"/>
              </w:rPr>
              <w:t>u</w:t>
            </w:r>
            <w:r w:rsidRPr="00FE072D">
              <w:rPr>
                <w:sz w:val="20"/>
                <w:szCs w:val="20"/>
              </w:rPr>
              <w:t>beginn</w:t>
            </w:r>
          </w:p>
        </w:tc>
      </w:tr>
      <w:tr w:rsidR="0053785F" w:rsidRPr="00A50357" w:rsidTr="00EA4173">
        <w:tc>
          <w:tcPr>
            <w:tcW w:w="709" w:type="dxa"/>
            <w:tcBorders>
              <w:left w:val="double" w:sz="2"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2</w:t>
            </w:r>
          </w:p>
        </w:tc>
        <w:tc>
          <w:tcPr>
            <w:tcW w:w="6637" w:type="dxa"/>
            <w:tcBorders>
              <w:left w:val="single" w:sz="4" w:space="0" w:color="000000"/>
            </w:tcBorders>
          </w:tcPr>
          <w:p w:rsidR="0053785F" w:rsidRPr="00FE072D" w:rsidRDefault="0053785F" w:rsidP="00183D60">
            <w:pPr>
              <w:tabs>
                <w:tab w:val="left" w:pos="6804"/>
              </w:tabs>
              <w:snapToGrid w:val="0"/>
              <w:spacing w:before="40" w:after="40"/>
              <w:jc w:val="left"/>
              <w:rPr>
                <w:sz w:val="20"/>
                <w:szCs w:val="20"/>
              </w:rPr>
            </w:pPr>
            <w:r w:rsidRPr="00FE072D">
              <w:rPr>
                <w:sz w:val="20"/>
                <w:szCs w:val="20"/>
              </w:rPr>
              <w:t xml:space="preserve">Fremdüberwachungsvertrag für die Herstellung der </w:t>
            </w:r>
            <w:r w:rsidR="00EA4173">
              <w:t>Geotextilien zum Filtern und Trennen (GT-FT)</w:t>
            </w:r>
          </w:p>
        </w:tc>
        <w:tc>
          <w:tcPr>
            <w:tcW w:w="2036" w:type="dxa"/>
            <w:tcBorders>
              <w:left w:val="single" w:sz="4" w:space="0" w:color="000000"/>
              <w:right w:val="double" w:sz="2"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2 Wochen vor Ei</w:t>
            </w:r>
            <w:r w:rsidRPr="00FE072D">
              <w:rPr>
                <w:sz w:val="20"/>
                <w:szCs w:val="20"/>
              </w:rPr>
              <w:t>n</w:t>
            </w:r>
            <w:r w:rsidRPr="00FE072D">
              <w:rPr>
                <w:sz w:val="20"/>
                <w:szCs w:val="20"/>
              </w:rPr>
              <w:t xml:space="preserve">bau </w:t>
            </w:r>
          </w:p>
        </w:tc>
      </w:tr>
      <w:tr w:rsidR="0053785F" w:rsidRPr="00A50357" w:rsidTr="00EA4173">
        <w:tc>
          <w:tcPr>
            <w:tcW w:w="709" w:type="dxa"/>
            <w:tcBorders>
              <w:top w:val="single" w:sz="4" w:space="0" w:color="000000"/>
              <w:left w:val="double" w:sz="2"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4</w:t>
            </w:r>
          </w:p>
        </w:tc>
        <w:tc>
          <w:tcPr>
            <w:tcW w:w="6637" w:type="dxa"/>
            <w:tcBorders>
              <w:top w:val="single" w:sz="4" w:space="0" w:color="000000"/>
              <w:left w:val="single" w:sz="4" w:space="0" w:color="000000"/>
            </w:tcBorders>
          </w:tcPr>
          <w:p w:rsidR="0053785F" w:rsidRPr="00FE072D" w:rsidRDefault="0053785F" w:rsidP="00EA4173">
            <w:pPr>
              <w:tabs>
                <w:tab w:val="left" w:pos="6804"/>
              </w:tabs>
              <w:snapToGrid w:val="0"/>
              <w:spacing w:before="40" w:after="40"/>
              <w:jc w:val="left"/>
              <w:rPr>
                <w:sz w:val="20"/>
                <w:szCs w:val="20"/>
              </w:rPr>
            </w:pPr>
            <w:r w:rsidRPr="00FE072D">
              <w:rPr>
                <w:sz w:val="20"/>
                <w:szCs w:val="20"/>
              </w:rPr>
              <w:t xml:space="preserve">Fremdüberwachungsbericht für die eingesetzte </w:t>
            </w:r>
            <w:r w:rsidR="00414BE3">
              <w:rPr>
                <w:sz w:val="20"/>
                <w:szCs w:val="20"/>
              </w:rPr>
              <w:t>GT-FT</w:t>
            </w:r>
            <w:r w:rsidRPr="00FE072D">
              <w:rPr>
                <w:sz w:val="20"/>
                <w:szCs w:val="20"/>
              </w:rPr>
              <w:t>, Zeitraum en</w:t>
            </w:r>
            <w:r w:rsidRPr="00FE072D">
              <w:rPr>
                <w:sz w:val="20"/>
                <w:szCs w:val="20"/>
              </w:rPr>
              <w:t>t</w:t>
            </w:r>
            <w:r w:rsidR="00EA4173">
              <w:rPr>
                <w:sz w:val="20"/>
                <w:szCs w:val="20"/>
              </w:rPr>
              <w:t>sprechend des Produk</w:t>
            </w:r>
            <w:r w:rsidRPr="00FE072D">
              <w:rPr>
                <w:sz w:val="20"/>
                <w:szCs w:val="20"/>
              </w:rPr>
              <w:t xml:space="preserve">tionszeitpunktes der gelieferten </w:t>
            </w:r>
            <w:r w:rsidR="00414BE3">
              <w:rPr>
                <w:sz w:val="20"/>
                <w:szCs w:val="20"/>
              </w:rPr>
              <w:t>GT-FT</w:t>
            </w:r>
          </w:p>
        </w:tc>
        <w:tc>
          <w:tcPr>
            <w:tcW w:w="2036" w:type="dxa"/>
            <w:tcBorders>
              <w:top w:val="single" w:sz="4" w:space="0" w:color="000000"/>
              <w:left w:val="single" w:sz="4" w:space="0" w:color="000000"/>
              <w:right w:val="double" w:sz="2" w:space="0" w:color="000000"/>
            </w:tcBorders>
          </w:tcPr>
          <w:p w:rsidR="0053785F" w:rsidRPr="00FE072D" w:rsidRDefault="0053785F" w:rsidP="0053785F">
            <w:pPr>
              <w:tabs>
                <w:tab w:val="left" w:pos="6804"/>
              </w:tabs>
              <w:snapToGrid w:val="0"/>
              <w:spacing w:before="40" w:after="40"/>
              <w:rPr>
                <w:sz w:val="20"/>
                <w:szCs w:val="20"/>
              </w:rPr>
            </w:pPr>
            <w:r w:rsidRPr="00FE072D">
              <w:rPr>
                <w:sz w:val="20"/>
                <w:szCs w:val="20"/>
              </w:rPr>
              <w:t>2 Wochen vor Ba</w:t>
            </w:r>
            <w:r w:rsidRPr="00FE072D">
              <w:rPr>
                <w:sz w:val="20"/>
                <w:szCs w:val="20"/>
              </w:rPr>
              <w:t>u</w:t>
            </w:r>
            <w:r w:rsidRPr="00FE072D">
              <w:rPr>
                <w:sz w:val="20"/>
                <w:szCs w:val="20"/>
              </w:rPr>
              <w:t>beginn</w:t>
            </w:r>
          </w:p>
        </w:tc>
      </w:tr>
      <w:tr w:rsidR="0053785F" w:rsidRPr="00A50357" w:rsidTr="00EA4173">
        <w:tc>
          <w:tcPr>
            <w:tcW w:w="709" w:type="dxa"/>
            <w:tcBorders>
              <w:top w:val="single" w:sz="4" w:space="0" w:color="000000"/>
              <w:left w:val="double" w:sz="2" w:space="0" w:color="000000"/>
              <w:bottom w:val="single" w:sz="4"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5</w:t>
            </w:r>
          </w:p>
        </w:tc>
        <w:tc>
          <w:tcPr>
            <w:tcW w:w="6637" w:type="dxa"/>
            <w:tcBorders>
              <w:top w:val="single" w:sz="4" w:space="0" w:color="000000"/>
              <w:left w:val="single" w:sz="4" w:space="0" w:color="000000"/>
              <w:bottom w:val="single" w:sz="4" w:space="0" w:color="000000"/>
            </w:tcBorders>
          </w:tcPr>
          <w:p w:rsidR="0053785F" w:rsidRPr="00FE072D" w:rsidRDefault="0053785F" w:rsidP="00EA4173">
            <w:pPr>
              <w:tabs>
                <w:tab w:val="left" w:pos="6804"/>
              </w:tabs>
              <w:snapToGrid w:val="0"/>
              <w:spacing w:before="40" w:after="40"/>
              <w:jc w:val="left"/>
              <w:rPr>
                <w:sz w:val="20"/>
                <w:szCs w:val="20"/>
              </w:rPr>
            </w:pPr>
            <w:r w:rsidRPr="00FE072D">
              <w:rPr>
                <w:sz w:val="20"/>
                <w:szCs w:val="20"/>
              </w:rPr>
              <w:t xml:space="preserve">Abnahmeprüfzeugnis 3.1 nach DIN EN 10204 für die gelieferten </w:t>
            </w:r>
            <w:r w:rsidR="00414BE3">
              <w:rPr>
                <w:sz w:val="20"/>
                <w:szCs w:val="20"/>
              </w:rPr>
              <w:t>GT-FT</w:t>
            </w:r>
          </w:p>
        </w:tc>
        <w:tc>
          <w:tcPr>
            <w:tcW w:w="2036" w:type="dxa"/>
            <w:tcBorders>
              <w:top w:val="single" w:sz="4" w:space="0" w:color="000000"/>
              <w:left w:val="single" w:sz="4" w:space="0" w:color="000000"/>
              <w:bottom w:val="single" w:sz="4" w:space="0" w:color="000000"/>
              <w:right w:val="double" w:sz="2"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bei Lieferung</w:t>
            </w:r>
          </w:p>
        </w:tc>
      </w:tr>
      <w:tr w:rsidR="0053785F" w:rsidRPr="00A50357" w:rsidTr="00EA4173">
        <w:tc>
          <w:tcPr>
            <w:tcW w:w="709" w:type="dxa"/>
            <w:tcBorders>
              <w:left w:val="double" w:sz="2" w:space="0" w:color="000000"/>
              <w:bottom w:val="single" w:sz="4"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6</w:t>
            </w:r>
          </w:p>
        </w:tc>
        <w:tc>
          <w:tcPr>
            <w:tcW w:w="6637" w:type="dxa"/>
            <w:tcBorders>
              <w:left w:val="single" w:sz="4" w:space="0" w:color="000000"/>
              <w:bottom w:val="single" w:sz="4" w:space="0" w:color="000000"/>
            </w:tcBorders>
          </w:tcPr>
          <w:p w:rsidR="0053785F" w:rsidRPr="00FE072D" w:rsidRDefault="0053785F" w:rsidP="00183D60">
            <w:pPr>
              <w:tabs>
                <w:tab w:val="left" w:pos="6804"/>
              </w:tabs>
              <w:snapToGrid w:val="0"/>
              <w:spacing w:before="40" w:after="40"/>
              <w:jc w:val="left"/>
              <w:rPr>
                <w:sz w:val="20"/>
                <w:szCs w:val="20"/>
              </w:rPr>
            </w:pPr>
            <w:r w:rsidRPr="00FE072D">
              <w:rPr>
                <w:sz w:val="20"/>
                <w:szCs w:val="20"/>
              </w:rPr>
              <w:t>CE-Zertifikat der werkseigenen Produktionskontrolle</w:t>
            </w:r>
          </w:p>
        </w:tc>
        <w:tc>
          <w:tcPr>
            <w:tcW w:w="2036" w:type="dxa"/>
            <w:tcBorders>
              <w:left w:val="single" w:sz="4" w:space="0" w:color="000000"/>
              <w:bottom w:val="single" w:sz="4" w:space="0" w:color="000000"/>
              <w:right w:val="double" w:sz="2"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bei Lieferung</w:t>
            </w:r>
          </w:p>
        </w:tc>
      </w:tr>
      <w:tr w:rsidR="0053785F" w:rsidRPr="00A50357" w:rsidTr="00EA4173">
        <w:tc>
          <w:tcPr>
            <w:tcW w:w="709" w:type="dxa"/>
            <w:tcBorders>
              <w:left w:val="double" w:sz="2" w:space="0" w:color="000000"/>
              <w:bottom w:val="single" w:sz="4"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7</w:t>
            </w:r>
          </w:p>
        </w:tc>
        <w:tc>
          <w:tcPr>
            <w:tcW w:w="6637" w:type="dxa"/>
            <w:tcBorders>
              <w:left w:val="single" w:sz="4" w:space="0" w:color="000000"/>
              <w:bottom w:val="single" w:sz="4" w:space="0" w:color="000000"/>
            </w:tcBorders>
          </w:tcPr>
          <w:p w:rsidR="0053785F" w:rsidRPr="00FE072D" w:rsidRDefault="0053785F" w:rsidP="00183D60">
            <w:pPr>
              <w:tabs>
                <w:tab w:val="left" w:pos="6804"/>
              </w:tabs>
              <w:snapToGrid w:val="0"/>
              <w:spacing w:before="40" w:after="40"/>
              <w:jc w:val="left"/>
              <w:rPr>
                <w:sz w:val="20"/>
                <w:szCs w:val="20"/>
              </w:rPr>
            </w:pPr>
            <w:r w:rsidRPr="00FE072D">
              <w:rPr>
                <w:sz w:val="20"/>
                <w:szCs w:val="20"/>
              </w:rPr>
              <w:t>Begleitdokument gemäß DIN EN 13493</w:t>
            </w:r>
          </w:p>
        </w:tc>
        <w:tc>
          <w:tcPr>
            <w:tcW w:w="2036" w:type="dxa"/>
            <w:tcBorders>
              <w:left w:val="single" w:sz="4" w:space="0" w:color="000000"/>
              <w:bottom w:val="single" w:sz="4" w:space="0" w:color="000000"/>
              <w:right w:val="double" w:sz="2"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bei Lieferung</w:t>
            </w:r>
          </w:p>
        </w:tc>
      </w:tr>
      <w:tr w:rsidR="0053785F" w:rsidRPr="00A50357" w:rsidTr="00EA4173">
        <w:tc>
          <w:tcPr>
            <w:tcW w:w="709" w:type="dxa"/>
            <w:tcBorders>
              <w:left w:val="double" w:sz="2" w:space="0" w:color="000000"/>
              <w:bottom w:val="single" w:sz="4"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8</w:t>
            </w:r>
          </w:p>
        </w:tc>
        <w:tc>
          <w:tcPr>
            <w:tcW w:w="6637" w:type="dxa"/>
            <w:tcBorders>
              <w:top w:val="single" w:sz="4" w:space="0" w:color="000000"/>
              <w:left w:val="single" w:sz="4" w:space="0" w:color="000000"/>
            </w:tcBorders>
          </w:tcPr>
          <w:p w:rsidR="0053785F" w:rsidRPr="00FE072D" w:rsidRDefault="0053785F" w:rsidP="00183D60">
            <w:pPr>
              <w:tabs>
                <w:tab w:val="left" w:pos="6804"/>
              </w:tabs>
              <w:snapToGrid w:val="0"/>
              <w:spacing w:before="40" w:after="40"/>
              <w:jc w:val="left"/>
              <w:rPr>
                <w:sz w:val="20"/>
                <w:szCs w:val="20"/>
              </w:rPr>
            </w:pPr>
            <w:r w:rsidRPr="00FE072D">
              <w:rPr>
                <w:sz w:val="20"/>
                <w:szCs w:val="20"/>
              </w:rPr>
              <w:t>Lieferscheine aller angelieferten Materialien</w:t>
            </w:r>
            <w:r w:rsidRPr="00FE072D">
              <w:rPr>
                <w:sz w:val="20"/>
                <w:szCs w:val="20"/>
              </w:rPr>
              <w:br/>
              <w:t>(Komponenten und Durchführungen)</w:t>
            </w:r>
          </w:p>
        </w:tc>
        <w:tc>
          <w:tcPr>
            <w:tcW w:w="2036" w:type="dxa"/>
            <w:tcBorders>
              <w:top w:val="single" w:sz="4" w:space="0" w:color="000000"/>
              <w:left w:val="single" w:sz="4" w:space="0" w:color="000000"/>
              <w:right w:val="double" w:sz="2"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bei Lieferung</w:t>
            </w:r>
          </w:p>
        </w:tc>
      </w:tr>
      <w:tr w:rsidR="0053785F" w:rsidTr="00EA4173">
        <w:tc>
          <w:tcPr>
            <w:tcW w:w="709" w:type="dxa"/>
            <w:tcBorders>
              <w:top w:val="single" w:sz="4" w:space="0" w:color="000000"/>
              <w:left w:val="double" w:sz="2" w:space="0" w:color="000000"/>
              <w:bottom w:val="double" w:sz="2"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9</w:t>
            </w:r>
          </w:p>
        </w:tc>
        <w:tc>
          <w:tcPr>
            <w:tcW w:w="6637" w:type="dxa"/>
            <w:tcBorders>
              <w:top w:val="single" w:sz="4" w:space="0" w:color="000000"/>
              <w:left w:val="single" w:sz="4" w:space="0" w:color="000000"/>
              <w:bottom w:val="double" w:sz="1" w:space="0" w:color="000000"/>
            </w:tcBorders>
          </w:tcPr>
          <w:p w:rsidR="0053785F" w:rsidRPr="00FE072D" w:rsidRDefault="0053785F" w:rsidP="00183D60">
            <w:pPr>
              <w:tabs>
                <w:tab w:val="left" w:pos="6804"/>
              </w:tabs>
              <w:snapToGrid w:val="0"/>
              <w:spacing w:before="40" w:after="40"/>
              <w:jc w:val="left"/>
              <w:rPr>
                <w:sz w:val="20"/>
                <w:szCs w:val="20"/>
              </w:rPr>
            </w:pPr>
            <w:r w:rsidRPr="00FE072D">
              <w:rPr>
                <w:sz w:val="20"/>
                <w:szCs w:val="20"/>
              </w:rPr>
              <w:t xml:space="preserve">Verlege- und Einbauanweisung für die </w:t>
            </w:r>
            <w:r w:rsidR="00EA4173">
              <w:t>Geotextilien zum Filtern und Trennen (GT-FT)</w:t>
            </w:r>
          </w:p>
        </w:tc>
        <w:tc>
          <w:tcPr>
            <w:tcW w:w="2036" w:type="dxa"/>
            <w:tcBorders>
              <w:top w:val="single" w:sz="4" w:space="0" w:color="000000"/>
              <w:left w:val="single" w:sz="4" w:space="0" w:color="000000"/>
              <w:bottom w:val="double" w:sz="1" w:space="0" w:color="000000"/>
              <w:right w:val="double" w:sz="2" w:space="0" w:color="000000"/>
            </w:tcBorders>
          </w:tcPr>
          <w:p w:rsidR="0053785F" w:rsidRPr="00FE072D" w:rsidRDefault="0053785F" w:rsidP="00183D60">
            <w:pPr>
              <w:tabs>
                <w:tab w:val="left" w:pos="6804"/>
              </w:tabs>
              <w:snapToGrid w:val="0"/>
              <w:spacing w:before="40" w:after="40"/>
              <w:rPr>
                <w:sz w:val="20"/>
                <w:szCs w:val="20"/>
              </w:rPr>
            </w:pPr>
            <w:r w:rsidRPr="00FE072D">
              <w:rPr>
                <w:sz w:val="20"/>
                <w:szCs w:val="20"/>
              </w:rPr>
              <w:t>2 Wochen vor Ba</w:t>
            </w:r>
            <w:r w:rsidRPr="00FE072D">
              <w:rPr>
                <w:sz w:val="20"/>
                <w:szCs w:val="20"/>
              </w:rPr>
              <w:t>u</w:t>
            </w:r>
            <w:r w:rsidRPr="00FE072D">
              <w:rPr>
                <w:sz w:val="20"/>
                <w:szCs w:val="20"/>
              </w:rPr>
              <w:t>beginn</w:t>
            </w:r>
          </w:p>
        </w:tc>
      </w:tr>
    </w:tbl>
    <w:p w:rsidR="0053785F" w:rsidRPr="00A50357" w:rsidRDefault="0053785F" w:rsidP="0053785F">
      <w:pPr>
        <w:pStyle w:val="StAbsatz"/>
        <w:ind w:left="0"/>
      </w:pPr>
    </w:p>
    <w:p w:rsidR="00142754" w:rsidRDefault="00142754" w:rsidP="00142754">
      <w:pPr>
        <w:pStyle w:val="Textabsatz"/>
      </w:pPr>
      <w:r>
        <w:t xml:space="preserve">Der Nachweis der Standsicherheit der Oberflächenabdichtung ist für alle maßgebenden Bau- und Betriebszustände nach den in der Geotechnik üblichen Verfahren, z. B. nach GDA E2-7 zu erbringen. Dabei dürfen die </w:t>
      </w:r>
      <w:r w:rsidR="00580A20">
        <w:t>Geotextilien</w:t>
      </w:r>
      <w:r>
        <w:t xml:space="preserve"> nicht zur planmäßigen Übertragung von Schu</w:t>
      </w:r>
      <w:r>
        <w:t>b</w:t>
      </w:r>
      <w:r>
        <w:t>kräften herangezogen werden.</w:t>
      </w:r>
    </w:p>
    <w:p w:rsidR="002B6463" w:rsidRDefault="00142754" w:rsidP="00142754">
      <w:pPr>
        <w:pStyle w:val="Textabsatz"/>
      </w:pPr>
      <w:r>
        <w:t>Für den Nachweis der Standsicherhei</w:t>
      </w:r>
      <w:r w:rsidR="00EA4173">
        <w:t>t einer Gleitfläche zwischen den</w:t>
      </w:r>
      <w:r>
        <w:t xml:space="preserve"> </w:t>
      </w:r>
      <w:r w:rsidR="00EA4173">
        <w:t>Geotextilien zum Fi</w:t>
      </w:r>
      <w:r w:rsidR="00EA4173">
        <w:t>l</w:t>
      </w:r>
      <w:r w:rsidR="00EA4173">
        <w:t>tern und Trennen (GT-FT)</w:t>
      </w:r>
      <w:r>
        <w:t xml:space="preserve"> und </w:t>
      </w:r>
      <w:r w:rsidR="00EA4173">
        <w:t xml:space="preserve">den </w:t>
      </w:r>
      <w:r>
        <w:t xml:space="preserve">angrenzenden </w:t>
      </w:r>
      <w:r w:rsidR="00EA4173">
        <w:t xml:space="preserve">mineralischen </w:t>
      </w:r>
      <w:r>
        <w:t>Schichten sind die erforde</w:t>
      </w:r>
      <w:r>
        <w:t>r</w:t>
      </w:r>
      <w:r>
        <w:t>lichen Reibungsparameter für die zur Anwendung kommenden Baustoffe durch geeignete Scherversuche festzustellen. Bei den Festlegungen zur Versuchsdurchführung und der B</w:t>
      </w:r>
      <w:r>
        <w:t>e</w:t>
      </w:r>
      <w:r>
        <w:t>wertung der Versuchsergebnisse ist die GDA-Empfehlung E 3-8 zu berücksichtigen.</w:t>
      </w:r>
    </w:p>
    <w:p w:rsidR="00142754" w:rsidRPr="00235D8B" w:rsidRDefault="00142754" w:rsidP="00142754">
      <w:pPr>
        <w:pStyle w:val="Textabsatz"/>
      </w:pPr>
    </w:p>
    <w:p w:rsidR="00AC45AF" w:rsidRDefault="00AC45AF" w:rsidP="00925A6D">
      <w:pPr>
        <w:pStyle w:val="berschrift2"/>
      </w:pPr>
      <w:bookmarkStart w:id="4" w:name="_Toc2861888"/>
      <w:r>
        <w:t>Eingangsprüfungen</w:t>
      </w:r>
      <w:bookmarkEnd w:id="4"/>
      <w:r w:rsidR="00235D8B">
        <w:t xml:space="preserve"> </w:t>
      </w:r>
      <w:r w:rsidR="00414BE3">
        <w:t>GT-FT</w:t>
      </w:r>
    </w:p>
    <w:p w:rsidR="00235D8B" w:rsidRPr="00A50357" w:rsidRDefault="00235D8B" w:rsidP="00235D8B">
      <w:pPr>
        <w:pStyle w:val="berschrift3"/>
      </w:pPr>
      <w:bookmarkStart w:id="5" w:name="_Toc330398924"/>
      <w:bookmarkStart w:id="6" w:name="_Toc387926546"/>
      <w:r w:rsidRPr="00A50357">
        <w:t>Herstell</w:t>
      </w:r>
      <w:bookmarkEnd w:id="5"/>
      <w:r>
        <w:t xml:space="preserve">ung Werkseigene Produktionskontrolle </w:t>
      </w:r>
      <w:r w:rsidR="00414BE3">
        <w:t>GT-FT</w:t>
      </w:r>
      <w:bookmarkEnd w:id="6"/>
    </w:p>
    <w:p w:rsidR="00235D8B" w:rsidRPr="00A50357" w:rsidRDefault="00235D8B" w:rsidP="00235D8B">
      <w:pPr>
        <w:tabs>
          <w:tab w:val="left" w:pos="851"/>
        </w:tabs>
        <w:spacing w:line="360" w:lineRule="atLeast"/>
      </w:pPr>
      <w:r>
        <w:t xml:space="preserve">Die </w:t>
      </w:r>
      <w:r w:rsidRPr="00A50357">
        <w:t xml:space="preserve">Art und </w:t>
      </w:r>
      <w:r>
        <w:t>Häufigkeit der Prüfungen der Produktherstellung bei</w:t>
      </w:r>
      <w:r w:rsidR="00F227A6">
        <w:t xml:space="preserve"> Eigen- und </w:t>
      </w:r>
      <w:r>
        <w:t>Fremdüberw</w:t>
      </w:r>
      <w:r>
        <w:t>a</w:t>
      </w:r>
      <w:r>
        <w:t xml:space="preserve">chung sind in der </w:t>
      </w:r>
      <w:r w:rsidR="004B7531">
        <w:t>BAM-Richtlinie</w:t>
      </w:r>
      <w:r w:rsidR="0072139F">
        <w:t xml:space="preserve"> </w:t>
      </w:r>
      <w:r>
        <w:t>detailliert beschrieben. Die Vorgaben sind zwingend einz</w:t>
      </w:r>
      <w:r>
        <w:t>u</w:t>
      </w:r>
      <w:r>
        <w:t xml:space="preserve">halten. </w:t>
      </w:r>
    </w:p>
    <w:p w:rsidR="00235D8B" w:rsidRPr="00A50357" w:rsidRDefault="00235D8B" w:rsidP="00235D8B">
      <w:pPr>
        <w:spacing w:line="360" w:lineRule="atLeast"/>
      </w:pPr>
      <w:r w:rsidRPr="00A50357">
        <w:t>Die Ergebnisse der Eigenüberwachung werden zusammen mit den Produktionsdaten und den Rollennummern für jede Lieferung in einem Abnahmeprüfzeugnis 3.1 nach DIN EN 10204 dokumentiert. Darin wird bestätigt, dass die zugesicherten Eigenschaften nachgewi</w:t>
      </w:r>
      <w:r w:rsidRPr="00A50357">
        <w:t>e</w:t>
      </w:r>
      <w:r w:rsidRPr="00A50357">
        <w:t>sen wurden und die in der Eignungsfeststellung vorgegebenen Materialien verarbeitet wu</w:t>
      </w:r>
      <w:r w:rsidRPr="00A50357">
        <w:t>r</w:t>
      </w:r>
      <w:r w:rsidRPr="00A50357">
        <w:t>den.</w:t>
      </w:r>
    </w:p>
    <w:p w:rsidR="00235D8B" w:rsidRPr="00A50357" w:rsidRDefault="00235D8B" w:rsidP="00235D8B">
      <w:pPr>
        <w:spacing w:line="360" w:lineRule="atLeast"/>
      </w:pPr>
      <w:r w:rsidRPr="00A50357">
        <w:t xml:space="preserve">Die </w:t>
      </w:r>
      <w:r w:rsidR="00414BE3">
        <w:t>GT-FT</w:t>
      </w:r>
      <w:r w:rsidRPr="00A50357">
        <w:t xml:space="preserve"> werden vom Hersteller fortlaufend so gekennzeichnet (Rollennummern), dass sie den Lieferscheinen und den Abnahmeprüfzeugnissen zuzuordnen sind. Die Abnahmeprü</w:t>
      </w:r>
      <w:r w:rsidRPr="00A50357">
        <w:t>f</w:t>
      </w:r>
      <w:r w:rsidRPr="00A50357">
        <w:t xml:space="preserve">zeugnisse sind der Fremdprüfung zusammen mit den Lieferscheinen vor, spätestens jedoch bei Lieferung der </w:t>
      </w:r>
      <w:r w:rsidR="00414BE3">
        <w:t>GT-FT</w:t>
      </w:r>
      <w:r w:rsidRPr="00A50357">
        <w:t xml:space="preserve"> zur Baustelle zu übergeben.</w:t>
      </w:r>
    </w:p>
    <w:p w:rsidR="00235D8B" w:rsidRPr="00A50357" w:rsidRDefault="00235D8B" w:rsidP="00235D8B">
      <w:pPr>
        <w:tabs>
          <w:tab w:val="left" w:pos="851"/>
        </w:tabs>
        <w:spacing w:line="360" w:lineRule="atLeast"/>
        <w:ind w:firstLine="142"/>
      </w:pPr>
    </w:p>
    <w:p w:rsidR="00235D8B" w:rsidRPr="00A50357" w:rsidRDefault="00235D8B" w:rsidP="00F227A6">
      <w:pPr>
        <w:pStyle w:val="berschrift3"/>
      </w:pPr>
      <w:bookmarkStart w:id="7" w:name="_Toc387926548"/>
      <w:r>
        <w:t xml:space="preserve">Identifikationsprüfung / Fremdprüfung </w:t>
      </w:r>
      <w:r w:rsidR="00414BE3">
        <w:t>GT-FT</w:t>
      </w:r>
      <w:bookmarkEnd w:id="7"/>
    </w:p>
    <w:p w:rsidR="00EC4718" w:rsidRPr="00A50357" w:rsidRDefault="00235D8B" w:rsidP="00235D8B">
      <w:pPr>
        <w:spacing w:line="360" w:lineRule="atLeast"/>
      </w:pPr>
      <w:r w:rsidRPr="00A50357">
        <w:t xml:space="preserve">Die Ergebnisse der Eigenüberwachung werden durch den Fremdprüfer geprüft und durch </w:t>
      </w:r>
      <w:r w:rsidR="00F227A6">
        <w:t xml:space="preserve">die folgenden </w:t>
      </w:r>
      <w:r w:rsidRPr="00A50357">
        <w:t>Kontrollprüfungen ergänzt:</w:t>
      </w:r>
    </w:p>
    <w:p w:rsidR="0072139F" w:rsidRPr="0072139F" w:rsidRDefault="0072139F" w:rsidP="0072139F">
      <w:pPr>
        <w:pStyle w:val="Listenabsatz"/>
        <w:numPr>
          <w:ilvl w:val="0"/>
          <w:numId w:val="34"/>
        </w:numPr>
        <w:tabs>
          <w:tab w:val="left" w:pos="851"/>
          <w:tab w:val="left" w:pos="7088"/>
          <w:tab w:val="right" w:pos="8789"/>
        </w:tabs>
        <w:rPr>
          <w:rFonts w:ascii="Arial" w:hAnsi="Arial" w:cs="Arial"/>
          <w:sz w:val="22"/>
          <w:szCs w:val="22"/>
        </w:rPr>
      </w:pPr>
      <w:r w:rsidRPr="0072139F">
        <w:rPr>
          <w:rFonts w:ascii="Arial" w:hAnsi="Arial" w:cs="Arial"/>
          <w:sz w:val="22"/>
          <w:szCs w:val="22"/>
        </w:rPr>
        <w:t xml:space="preserve">Masse pro Flächeneinheit (DIN EN ISO 9864) </w:t>
      </w:r>
      <w:r>
        <w:rPr>
          <w:rFonts w:ascii="Arial" w:hAnsi="Arial" w:cs="Arial"/>
          <w:sz w:val="22"/>
          <w:szCs w:val="22"/>
        </w:rPr>
        <w:tab/>
      </w:r>
      <w:r w:rsidRPr="0072139F">
        <w:rPr>
          <w:rFonts w:ascii="Arial" w:hAnsi="Arial" w:cs="Arial"/>
          <w:sz w:val="22"/>
          <w:szCs w:val="22"/>
        </w:rPr>
        <w:t>alle 5.000 m²</w:t>
      </w:r>
    </w:p>
    <w:p w:rsidR="0072139F" w:rsidRPr="0072139F" w:rsidRDefault="0072139F" w:rsidP="0072139F">
      <w:pPr>
        <w:pStyle w:val="Listenabsatz"/>
        <w:numPr>
          <w:ilvl w:val="0"/>
          <w:numId w:val="34"/>
        </w:numPr>
        <w:tabs>
          <w:tab w:val="left" w:pos="851"/>
          <w:tab w:val="left" w:pos="7088"/>
          <w:tab w:val="right" w:pos="8789"/>
        </w:tabs>
        <w:rPr>
          <w:rFonts w:ascii="Arial" w:hAnsi="Arial" w:cs="Arial"/>
          <w:sz w:val="22"/>
          <w:szCs w:val="22"/>
        </w:rPr>
      </w:pPr>
      <w:r w:rsidRPr="0072139F">
        <w:rPr>
          <w:rFonts w:ascii="Arial" w:hAnsi="Arial" w:cs="Arial"/>
          <w:sz w:val="22"/>
          <w:szCs w:val="22"/>
        </w:rPr>
        <w:t xml:space="preserve">Dicke (DIN EN ISO 9863-1 Prüfdruck 2 kPa) </w:t>
      </w:r>
      <w:r>
        <w:rPr>
          <w:rFonts w:ascii="Arial" w:hAnsi="Arial" w:cs="Arial"/>
          <w:sz w:val="22"/>
          <w:szCs w:val="22"/>
        </w:rPr>
        <w:tab/>
      </w:r>
      <w:r w:rsidRPr="0072139F">
        <w:rPr>
          <w:rFonts w:ascii="Arial" w:hAnsi="Arial" w:cs="Arial"/>
          <w:sz w:val="22"/>
          <w:szCs w:val="22"/>
        </w:rPr>
        <w:t>alle 5.000 m²</w:t>
      </w:r>
    </w:p>
    <w:p w:rsidR="0072139F" w:rsidRPr="0072139F" w:rsidRDefault="0072139F" w:rsidP="0072139F">
      <w:pPr>
        <w:pStyle w:val="Listenabsatz"/>
        <w:numPr>
          <w:ilvl w:val="0"/>
          <w:numId w:val="34"/>
        </w:numPr>
        <w:tabs>
          <w:tab w:val="left" w:pos="851"/>
          <w:tab w:val="left" w:pos="7088"/>
          <w:tab w:val="right" w:pos="8789"/>
        </w:tabs>
        <w:rPr>
          <w:rFonts w:ascii="Arial" w:hAnsi="Arial" w:cs="Arial"/>
          <w:sz w:val="22"/>
          <w:szCs w:val="22"/>
        </w:rPr>
      </w:pPr>
      <w:r w:rsidRPr="0072139F">
        <w:rPr>
          <w:rFonts w:ascii="Arial" w:hAnsi="Arial" w:cs="Arial"/>
          <w:sz w:val="22"/>
          <w:szCs w:val="22"/>
        </w:rPr>
        <w:t xml:space="preserve">Höchstzugkraft längs/quer </w:t>
      </w:r>
      <w:r>
        <w:rPr>
          <w:rFonts w:ascii="Arial" w:hAnsi="Arial" w:cs="Arial"/>
          <w:sz w:val="22"/>
          <w:szCs w:val="22"/>
        </w:rPr>
        <w:tab/>
      </w:r>
      <w:r w:rsidRPr="0072139F">
        <w:rPr>
          <w:rFonts w:ascii="Arial" w:hAnsi="Arial" w:cs="Arial"/>
          <w:sz w:val="22"/>
          <w:szCs w:val="22"/>
        </w:rPr>
        <w:t>alle 5.000 m²</w:t>
      </w:r>
    </w:p>
    <w:p w:rsidR="0072139F" w:rsidRPr="0072139F" w:rsidRDefault="0072139F" w:rsidP="0033719D">
      <w:pPr>
        <w:pStyle w:val="Listenabsatz"/>
        <w:tabs>
          <w:tab w:val="left" w:pos="851"/>
          <w:tab w:val="left" w:pos="7088"/>
          <w:tab w:val="right" w:pos="8789"/>
        </w:tabs>
        <w:ind w:left="720"/>
        <w:rPr>
          <w:rFonts w:ascii="Arial" w:hAnsi="Arial" w:cs="Arial"/>
          <w:sz w:val="22"/>
          <w:szCs w:val="22"/>
        </w:rPr>
      </w:pPr>
      <w:r w:rsidRPr="0072139F">
        <w:rPr>
          <w:rFonts w:ascii="Arial" w:hAnsi="Arial" w:cs="Arial"/>
          <w:sz w:val="22"/>
          <w:szCs w:val="22"/>
        </w:rPr>
        <w:t>(DIN EN ISO 10319 oder DIN EN 29073-3)</w:t>
      </w:r>
    </w:p>
    <w:p w:rsidR="0072139F" w:rsidRPr="0072139F" w:rsidRDefault="0072139F" w:rsidP="0072139F">
      <w:pPr>
        <w:pStyle w:val="Listenabsatz"/>
        <w:numPr>
          <w:ilvl w:val="0"/>
          <w:numId w:val="34"/>
        </w:numPr>
        <w:tabs>
          <w:tab w:val="left" w:pos="851"/>
          <w:tab w:val="left" w:pos="7088"/>
          <w:tab w:val="right" w:pos="8789"/>
        </w:tabs>
        <w:rPr>
          <w:rFonts w:ascii="Arial" w:hAnsi="Arial" w:cs="Arial"/>
          <w:sz w:val="22"/>
          <w:szCs w:val="22"/>
        </w:rPr>
      </w:pPr>
      <w:r w:rsidRPr="0072139F">
        <w:rPr>
          <w:rFonts w:ascii="Arial" w:hAnsi="Arial" w:cs="Arial"/>
          <w:sz w:val="22"/>
          <w:szCs w:val="22"/>
        </w:rPr>
        <w:t xml:space="preserve">Dehnung bei Höchstzugkraft längs/quer </w:t>
      </w:r>
      <w:r>
        <w:rPr>
          <w:rFonts w:ascii="Arial" w:hAnsi="Arial" w:cs="Arial"/>
          <w:sz w:val="22"/>
          <w:szCs w:val="22"/>
        </w:rPr>
        <w:tab/>
      </w:r>
      <w:r w:rsidRPr="0072139F">
        <w:rPr>
          <w:rFonts w:ascii="Arial" w:hAnsi="Arial" w:cs="Arial"/>
          <w:sz w:val="22"/>
          <w:szCs w:val="22"/>
        </w:rPr>
        <w:t>alle 5.000 m²</w:t>
      </w:r>
    </w:p>
    <w:p w:rsidR="0072139F" w:rsidRPr="0072139F" w:rsidRDefault="0072139F" w:rsidP="0033719D">
      <w:pPr>
        <w:pStyle w:val="Listenabsatz"/>
        <w:tabs>
          <w:tab w:val="left" w:pos="851"/>
          <w:tab w:val="left" w:pos="7088"/>
          <w:tab w:val="right" w:pos="8789"/>
        </w:tabs>
        <w:ind w:left="720"/>
        <w:rPr>
          <w:rFonts w:ascii="Arial" w:hAnsi="Arial" w:cs="Arial"/>
          <w:sz w:val="22"/>
          <w:szCs w:val="22"/>
        </w:rPr>
      </w:pPr>
      <w:r w:rsidRPr="0072139F">
        <w:rPr>
          <w:rFonts w:ascii="Arial" w:hAnsi="Arial" w:cs="Arial"/>
          <w:sz w:val="22"/>
          <w:szCs w:val="22"/>
        </w:rPr>
        <w:t>(DIN EN ISO 10319 oder DIN EN 29073-3)</w:t>
      </w:r>
    </w:p>
    <w:p w:rsidR="0072139F" w:rsidRPr="0072139F" w:rsidRDefault="0072139F" w:rsidP="0072139F">
      <w:pPr>
        <w:pStyle w:val="Listenabsatz"/>
        <w:numPr>
          <w:ilvl w:val="0"/>
          <w:numId w:val="34"/>
        </w:numPr>
        <w:tabs>
          <w:tab w:val="left" w:pos="851"/>
          <w:tab w:val="left" w:pos="7088"/>
          <w:tab w:val="right" w:pos="8789"/>
        </w:tabs>
        <w:rPr>
          <w:rFonts w:ascii="Arial" w:hAnsi="Arial" w:cs="Arial"/>
          <w:sz w:val="22"/>
          <w:szCs w:val="22"/>
        </w:rPr>
      </w:pPr>
      <w:r w:rsidRPr="0072139F">
        <w:rPr>
          <w:rFonts w:ascii="Arial" w:hAnsi="Arial" w:cs="Arial"/>
          <w:sz w:val="22"/>
          <w:szCs w:val="22"/>
        </w:rPr>
        <w:t xml:space="preserve">Stempeldurchdrückkraft (DIN EN ISO 12236) </w:t>
      </w:r>
      <w:r>
        <w:rPr>
          <w:rFonts w:ascii="Arial" w:hAnsi="Arial" w:cs="Arial"/>
          <w:sz w:val="22"/>
          <w:szCs w:val="22"/>
        </w:rPr>
        <w:tab/>
      </w:r>
      <w:r w:rsidRPr="0072139F">
        <w:rPr>
          <w:rFonts w:ascii="Arial" w:hAnsi="Arial" w:cs="Arial"/>
          <w:sz w:val="22"/>
          <w:szCs w:val="22"/>
        </w:rPr>
        <w:t>alle 5.000 m²</w:t>
      </w:r>
    </w:p>
    <w:p w:rsidR="00EC4718" w:rsidRPr="0072139F" w:rsidRDefault="0072139F" w:rsidP="0072139F">
      <w:pPr>
        <w:pStyle w:val="Listenabsatz"/>
        <w:numPr>
          <w:ilvl w:val="0"/>
          <w:numId w:val="34"/>
        </w:numPr>
        <w:tabs>
          <w:tab w:val="left" w:pos="851"/>
          <w:tab w:val="left" w:pos="7088"/>
          <w:tab w:val="right" w:pos="8789"/>
        </w:tabs>
        <w:rPr>
          <w:rFonts w:ascii="Arial" w:hAnsi="Arial" w:cs="Arial"/>
          <w:sz w:val="22"/>
          <w:szCs w:val="22"/>
        </w:rPr>
      </w:pPr>
      <w:r w:rsidRPr="0072139F">
        <w:rPr>
          <w:rFonts w:ascii="Arial" w:hAnsi="Arial" w:cs="Arial"/>
          <w:sz w:val="22"/>
          <w:szCs w:val="22"/>
        </w:rPr>
        <w:t xml:space="preserve">Charakteristische Öffnungsweite (DIN EN ISO 12956) </w:t>
      </w:r>
      <w:r>
        <w:rPr>
          <w:rFonts w:ascii="Arial" w:hAnsi="Arial" w:cs="Arial"/>
          <w:sz w:val="22"/>
          <w:szCs w:val="22"/>
        </w:rPr>
        <w:tab/>
      </w:r>
      <w:r w:rsidRPr="0072139F">
        <w:rPr>
          <w:rFonts w:ascii="Arial" w:hAnsi="Arial" w:cs="Arial"/>
          <w:sz w:val="22"/>
          <w:szCs w:val="22"/>
        </w:rPr>
        <w:t>einmal pro Projekt</w:t>
      </w:r>
    </w:p>
    <w:p w:rsidR="002E73E5" w:rsidRPr="002E73E5" w:rsidRDefault="002E73E5" w:rsidP="002E73E5">
      <w:pPr>
        <w:spacing w:line="360" w:lineRule="atLeast"/>
        <w:rPr>
          <w:b/>
        </w:rPr>
      </w:pPr>
      <w:r w:rsidRPr="002E73E5">
        <w:rPr>
          <w:b/>
        </w:rPr>
        <w:t>Hinweise:</w:t>
      </w:r>
    </w:p>
    <w:p w:rsidR="002E73E5" w:rsidRPr="002E73E5" w:rsidRDefault="002E73E5" w:rsidP="002E73E5">
      <w:pPr>
        <w:spacing w:line="360" w:lineRule="atLeast"/>
      </w:pPr>
      <w:r w:rsidRPr="002E73E5">
        <w:t>Art und Häufigkeit dieser Prüfungen richten sich nach den Vorgaben im Anhang der jeweil</w:t>
      </w:r>
      <w:r w:rsidRPr="002E73E5">
        <w:t>i</w:t>
      </w:r>
      <w:r w:rsidRPr="002E73E5">
        <w:t>gen Eignungsbeurteilung. Bei kleineren Projekten ist jede Kontrollprüfung mindestens</w:t>
      </w:r>
      <w:r w:rsidR="0072139F">
        <w:t xml:space="preserve"> </w:t>
      </w:r>
      <w:r w:rsidRPr="002E73E5">
        <w:t xml:space="preserve">einmal durchzuführen. </w:t>
      </w:r>
    </w:p>
    <w:p w:rsidR="002E73E5" w:rsidRPr="002E73E5" w:rsidRDefault="002E73E5" w:rsidP="002E73E5">
      <w:pPr>
        <w:spacing w:line="360" w:lineRule="atLeast"/>
      </w:pPr>
      <w:r w:rsidRPr="002E73E5">
        <w:t>Das genannte Prüfraster ist eine Mindestvorgabe. Bei Lieferungen aus nicht zusammenhä</w:t>
      </w:r>
      <w:r w:rsidRPr="002E73E5">
        <w:t>n</w:t>
      </w:r>
      <w:r w:rsidRPr="002E73E5">
        <w:t>genden Produktionseinheiten kann sich die Anzahl der Kontrollprüfungen erhöhen.</w:t>
      </w:r>
    </w:p>
    <w:p w:rsidR="00235D8B" w:rsidRDefault="00235D8B" w:rsidP="00235D8B">
      <w:pPr>
        <w:spacing w:line="360" w:lineRule="atLeast"/>
      </w:pPr>
      <w:r w:rsidRPr="00A50357">
        <w:t>Die Proben für die Kontrollprüfungen werden vom Fremdprüfer auf der Baustelle entno</w:t>
      </w:r>
      <w:r w:rsidRPr="00A50357">
        <w:t>m</w:t>
      </w:r>
      <w:r w:rsidRPr="00A50357">
        <w:t>men.</w:t>
      </w:r>
      <w:r w:rsidR="00F227A6">
        <w:t xml:space="preserve"> </w:t>
      </w:r>
      <w:r w:rsidR="00EC4718">
        <w:t>Die K</w:t>
      </w:r>
      <w:r w:rsidR="00864ECD">
        <w:t>ontrollprüfungen müssen in einem</w:t>
      </w:r>
      <w:r w:rsidR="00EC4718">
        <w:t xml:space="preserve"> nach DIN 17025 akkreditierten Prüflabor durchgeführt werden</w:t>
      </w:r>
      <w:r w:rsidR="00864ECD">
        <w:t>, dass für die o.g. Versuche akkreditiert.</w:t>
      </w:r>
    </w:p>
    <w:p w:rsidR="002E73E5" w:rsidRDefault="002E73E5" w:rsidP="00235D8B">
      <w:pPr>
        <w:spacing w:line="360" w:lineRule="atLeast"/>
      </w:pPr>
    </w:p>
    <w:p w:rsidR="00AC45AF" w:rsidRDefault="00AC45AF" w:rsidP="00252FB2">
      <w:pPr>
        <w:pStyle w:val="berschrift2"/>
      </w:pPr>
      <w:bookmarkStart w:id="8" w:name="_Toc2861889"/>
      <w:r>
        <w:t>Baubegleitende Prüfungen</w:t>
      </w:r>
      <w:bookmarkEnd w:id="8"/>
      <w:r w:rsidR="00864ECD">
        <w:t xml:space="preserve"> </w:t>
      </w:r>
      <w:r w:rsidR="00414BE3">
        <w:t>GT-FT</w:t>
      </w:r>
    </w:p>
    <w:p w:rsidR="00864ECD" w:rsidRPr="00A50357" w:rsidRDefault="00864ECD" w:rsidP="00864ECD">
      <w:pPr>
        <w:pStyle w:val="berschrift3"/>
      </w:pPr>
      <w:bookmarkStart w:id="9" w:name="_Toc330398928"/>
      <w:bookmarkStart w:id="10" w:name="_Toc387926550"/>
      <w:r w:rsidRPr="00A50357">
        <w:t>Liefern und Lagern</w:t>
      </w:r>
      <w:bookmarkEnd w:id="9"/>
      <w:r>
        <w:t xml:space="preserve"> </w:t>
      </w:r>
      <w:r w:rsidR="00414BE3">
        <w:t>GT-FT</w:t>
      </w:r>
      <w:bookmarkEnd w:id="10"/>
    </w:p>
    <w:p w:rsidR="00864ECD" w:rsidRPr="00A50357" w:rsidRDefault="00864ECD" w:rsidP="00864ECD">
      <w:pPr>
        <w:pStyle w:val="StAbsatz"/>
        <w:ind w:left="0"/>
      </w:pPr>
      <w:r w:rsidRPr="00A50357">
        <w:t xml:space="preserve">Die </w:t>
      </w:r>
      <w:r w:rsidR="00414BE3">
        <w:t>GT-FT</w:t>
      </w:r>
      <w:r w:rsidRPr="00A50357">
        <w:t xml:space="preserve"> sind in einer Liefereinheit oder in Liefermengen von mindestens 5.000 m² zu liefern. Die Liefermengen müssen aus zusammenhängenden Produktionseinheiten stammen.</w:t>
      </w:r>
    </w:p>
    <w:p w:rsidR="00864ECD" w:rsidRPr="00A50357" w:rsidRDefault="00864ECD" w:rsidP="00864ECD">
      <w:pPr>
        <w:pStyle w:val="StAbsatz"/>
        <w:ind w:left="0"/>
      </w:pPr>
      <w:r w:rsidRPr="00A50357">
        <w:t xml:space="preserve">Die </w:t>
      </w:r>
      <w:r w:rsidR="00414BE3">
        <w:t>GT-FT</w:t>
      </w:r>
      <w:r w:rsidRPr="00A50357">
        <w:t xml:space="preserve"> (Rollen) werden ausschließlich nach den Vorschriften des Herstellers der </w:t>
      </w:r>
      <w:r w:rsidR="00414BE3">
        <w:t>GT-FT</w:t>
      </w:r>
      <w:r w:rsidRPr="00A50357">
        <w:t xml:space="preserve"> (</w:t>
      </w:r>
      <w:r w:rsidR="00135FF8">
        <w:t>Verlegeanleitung</w:t>
      </w:r>
      <w:r w:rsidRPr="00A50357">
        <w:t>) geliefert und gelagert. Dies ist durch die Eigenkontrolle des Verlegers sicherzustellen.</w:t>
      </w:r>
      <w:r w:rsidR="003A7E12" w:rsidRPr="003A7E12">
        <w:t xml:space="preserve"> </w:t>
      </w:r>
      <w:r w:rsidR="003A7E12">
        <w:t>Die gelagerten Rollen sind</w:t>
      </w:r>
      <w:r w:rsidR="00135FF8">
        <w:t>, insofern diese nicht einzeln verpackt,</w:t>
      </w:r>
      <w:r w:rsidR="003A7E12">
        <w:t xml:space="preserve"> mit einer wetterfesten und UV-stabilen Plane (Schutzfolie) zu bedecken.</w:t>
      </w:r>
    </w:p>
    <w:p w:rsidR="00864ECD" w:rsidRDefault="00864ECD" w:rsidP="00864ECD">
      <w:pPr>
        <w:pStyle w:val="StAbsatz"/>
        <w:ind w:left="0"/>
      </w:pPr>
      <w:r w:rsidRPr="00A50357">
        <w:t xml:space="preserve">Der Fremdprüfer prüft bei oder nach Lieferung die Kennzeichnung der </w:t>
      </w:r>
      <w:r w:rsidR="00414BE3">
        <w:t>GT-FT</w:t>
      </w:r>
      <w:r w:rsidR="00135FF8">
        <w:t>-Rollen</w:t>
      </w:r>
      <w:r w:rsidRPr="00A50357">
        <w:t>, den Anlieferungszustand und die fachgerechte Lagerung.</w:t>
      </w:r>
    </w:p>
    <w:p w:rsidR="00933FF4" w:rsidRDefault="00933FF4" w:rsidP="00933FF4">
      <w:pPr>
        <w:pStyle w:val="berschrift3"/>
      </w:pPr>
      <w:bookmarkStart w:id="11" w:name="_Toc330398930"/>
      <w:bookmarkStart w:id="12" w:name="_Toc387926552"/>
      <w:r>
        <w:t xml:space="preserve">Verlegen </w:t>
      </w:r>
      <w:bookmarkEnd w:id="11"/>
      <w:r w:rsidR="00414BE3">
        <w:t>GT-FT</w:t>
      </w:r>
      <w:bookmarkEnd w:id="12"/>
    </w:p>
    <w:p w:rsidR="00933FF4" w:rsidRPr="00A50357" w:rsidRDefault="00933FF4" w:rsidP="00933FF4">
      <w:pPr>
        <w:pStyle w:val="StAbsatz"/>
        <w:ind w:left="0"/>
      </w:pPr>
      <w:r w:rsidRPr="00A50357">
        <w:t xml:space="preserve">Die </w:t>
      </w:r>
      <w:r w:rsidR="00414BE3">
        <w:t>GT-FT</w:t>
      </w:r>
      <w:r w:rsidRPr="00A50357">
        <w:t xml:space="preserve"> werden ausschließlich nach den Einbauvorschriften des Herstellers der </w:t>
      </w:r>
      <w:r w:rsidR="00414BE3">
        <w:t>GT-FT</w:t>
      </w:r>
      <w:r w:rsidRPr="00A50357">
        <w:t xml:space="preserve"> (</w:t>
      </w:r>
      <w:r w:rsidR="00135FF8">
        <w:t>Verleganleitung</w:t>
      </w:r>
      <w:r w:rsidRPr="00A50357">
        <w:t xml:space="preserve">) durch einen Fachverleger eingebaut. Der Fachverleger ist nachweislich vom Hersteller der </w:t>
      </w:r>
      <w:r w:rsidR="00414BE3">
        <w:t>GT-FT</w:t>
      </w:r>
      <w:r w:rsidRPr="00A50357">
        <w:t xml:space="preserve"> entsprechend eingewiesen. Er muss den Anforderungen der “BAM-Richtlinie Fachbetriebe“ entsprechen.</w:t>
      </w:r>
    </w:p>
    <w:p w:rsidR="00135FF8" w:rsidRPr="003B6C05" w:rsidRDefault="00135FF8" w:rsidP="00135FF8">
      <w:pPr>
        <w:pStyle w:val="StAbsatz"/>
        <w:ind w:left="0"/>
        <w:rPr>
          <w:b/>
        </w:rPr>
      </w:pPr>
      <w:r w:rsidRPr="003B6C05">
        <w:rPr>
          <w:b/>
        </w:rPr>
        <w:t>Hinweis:</w:t>
      </w:r>
      <w:r w:rsidR="003B6C05" w:rsidRPr="003B6C05">
        <w:rPr>
          <w:b/>
        </w:rPr>
        <w:t xml:space="preserve"> </w:t>
      </w:r>
      <w:r w:rsidRPr="003B6C05">
        <w:t xml:space="preserve">Wenn in einem Abdichtungssystem ausschließlich Geotextilien zum Filtern und Trennen eingebaut werden, können die GT-FT auch </w:t>
      </w:r>
      <w:r w:rsidR="00304105" w:rsidRPr="003B6C05">
        <w:t>von einem Fachbetrieb eingebaut werden, welcher nicht der “BAM-Richtlinie Fachbetriebe“ entspricht.</w:t>
      </w:r>
      <w:r w:rsidR="003B6C05" w:rsidRPr="003B6C05">
        <w:rPr>
          <w:b/>
        </w:rPr>
        <w:t xml:space="preserve"> </w:t>
      </w:r>
      <w:r w:rsidR="00304105" w:rsidRPr="003B6C05">
        <w:t xml:space="preserve">In diesem Fall </w:t>
      </w:r>
      <w:r w:rsidRPr="003B6C05">
        <w:t>müssen die den Einbau durchführenden Arbeitskräfte vorab durch eine qualifizierte Fachkraft des Herstellers oder eines Fachbetriebes geschult und vor Ort eingewiesen werden. Inhalt, Teilnehmer, Zeitpunkt und Dauer der Schulung müssen dokumentiert und vom Fremdprüfer kontrolliert werden.</w:t>
      </w:r>
    </w:p>
    <w:p w:rsidR="00304105" w:rsidRDefault="00304105" w:rsidP="00304105">
      <w:pPr>
        <w:pStyle w:val="StAbsatz"/>
        <w:ind w:left="0"/>
      </w:pPr>
      <w:r>
        <w:t>Beim Ausrollen werden die Geotextilien durch den Verleger und den Fremdprüfer auf äußere Beschaffenheit, Kantengeradheit und mechanische Beschädigungen kontrolliert.</w:t>
      </w:r>
    </w:p>
    <w:p w:rsidR="00304105" w:rsidRDefault="00304105" w:rsidP="00304105">
      <w:pPr>
        <w:pStyle w:val="StAbsatz"/>
        <w:ind w:left="0"/>
      </w:pPr>
      <w:r>
        <w:t>Werden an einer Rolle der Geotextilien Fertigungsmängel oder mechanische Beschädigungen in größerem Umfang festgestellt, wird diese Rolle zurückgebaut.</w:t>
      </w:r>
    </w:p>
    <w:p w:rsidR="00304105" w:rsidRDefault="00304105" w:rsidP="00304105">
      <w:pPr>
        <w:pStyle w:val="StAbsatz"/>
        <w:ind w:left="0"/>
      </w:pPr>
      <w:r>
        <w:t>Die Geotextilien werden gemäß den Vorgaben der “BAM-Richtlinie Geotextilien-FT“ mit einer Überlappung von mindestens 50 cm verlegt.</w:t>
      </w:r>
    </w:p>
    <w:p w:rsidR="00304105" w:rsidRDefault="00304105" w:rsidP="00304105">
      <w:pPr>
        <w:pStyle w:val="StAbsatz"/>
        <w:ind w:left="0"/>
      </w:pPr>
      <w:r>
        <w:t>Die Geotextilien werden wenn erforderlich z. B. durch Sandsäcke in ihrer Lage gegen Wind- und Sturmeinwirkung gesichert. Ein direktes Befahren der Geotextilien mit Fahrzeugen und Baugeräten ist nicht zulässig.</w:t>
      </w:r>
    </w:p>
    <w:p w:rsidR="00304105" w:rsidRDefault="00304105" w:rsidP="00304105">
      <w:pPr>
        <w:pStyle w:val="StAbsatz"/>
        <w:ind w:left="0"/>
      </w:pPr>
      <w:r>
        <w:t>Lokal begrenzte Bereiche mit mechanischen Beschädigungen werden in Abstimmung mit der Fremdprüfung herausgeschnitten und durch neue Zuschnitte ersetzt.</w:t>
      </w:r>
    </w:p>
    <w:p w:rsidR="00933FF4" w:rsidRPr="00A50357" w:rsidRDefault="00933FF4" w:rsidP="00933FF4">
      <w:pPr>
        <w:pStyle w:val="StAbsatz"/>
        <w:ind w:left="0"/>
      </w:pPr>
      <w:r w:rsidRPr="00A50357">
        <w:t>Die konstruktiven Einzelheiten werden entsprechend den genehmigten Ausführungsplänen unter Berücksichtigung der Einbauvorschriften des Herstellers ausgeführt. Änderungen sind mit der örtlichen Bauüberwachung und dem Fremdprüfer vor Ausführung abzustimmen.</w:t>
      </w:r>
    </w:p>
    <w:p w:rsidR="00933FF4" w:rsidRPr="00A50357" w:rsidRDefault="00933FF4" w:rsidP="00933FF4">
      <w:pPr>
        <w:pStyle w:val="StAbsatz"/>
        <w:ind w:left="0"/>
      </w:pPr>
      <w:r w:rsidRPr="00A50357">
        <w:t>Die Ausführung wird durch den Fremdprüfer im Rahmen der Baustellentermine geprüft.</w:t>
      </w:r>
    </w:p>
    <w:p w:rsidR="00933FF4" w:rsidRPr="00A50357" w:rsidRDefault="00933FF4" w:rsidP="00933FF4">
      <w:pPr>
        <w:pStyle w:val="StAbsatz"/>
        <w:ind w:left="0"/>
      </w:pPr>
      <w:r w:rsidRPr="00A50357">
        <w:t xml:space="preserve">Vor Einbau der Kunststoffdichtungsbahnen werden die </w:t>
      </w:r>
      <w:r w:rsidR="00414BE3">
        <w:t>GT-FT</w:t>
      </w:r>
      <w:r w:rsidRPr="00A50357">
        <w:t xml:space="preserve"> einschließlich aller konstruktiven Einzelheiten in Teilflächen durch den Fremdprüfer fachtechnisch geprüft und freigegeben.</w:t>
      </w:r>
    </w:p>
    <w:p w:rsidR="00933FF4" w:rsidRPr="00A50357" w:rsidRDefault="00933FF4" w:rsidP="00933FF4">
      <w:pPr>
        <w:pStyle w:val="StAbsatz"/>
        <w:ind w:left="0"/>
      </w:pPr>
      <w:r w:rsidRPr="00A50357">
        <w:t>Die Teilfreigaben werden in den Baustellenberichten des Fremdprüfers dokumentiert.</w:t>
      </w:r>
    </w:p>
    <w:p w:rsidR="002E73E5" w:rsidRDefault="002E73E5" w:rsidP="00933FF4">
      <w:pPr>
        <w:pStyle w:val="StAbsatz"/>
        <w:ind w:left="0"/>
      </w:pPr>
    </w:p>
    <w:p w:rsidR="009F60C9" w:rsidRPr="0039461D" w:rsidRDefault="009F60C9" w:rsidP="009F60C9">
      <w:pPr>
        <w:pStyle w:val="berschrift3"/>
      </w:pPr>
      <w:bookmarkStart w:id="13" w:name="_Toc330398931"/>
      <w:bookmarkStart w:id="14" w:name="_Toc387926553"/>
      <w:r w:rsidRPr="0039461D">
        <w:t>Einbau der nachfolgenden Schichten</w:t>
      </w:r>
      <w:bookmarkEnd w:id="13"/>
      <w:bookmarkEnd w:id="14"/>
    </w:p>
    <w:p w:rsidR="00C14ED0" w:rsidRPr="00C14ED0" w:rsidRDefault="00C14ED0" w:rsidP="00C14ED0">
      <w:pPr>
        <w:suppressAutoHyphens/>
        <w:overflowPunct w:val="0"/>
        <w:autoSpaceDE w:val="0"/>
        <w:spacing w:line="360" w:lineRule="auto"/>
        <w:textAlignment w:val="baseline"/>
        <w:rPr>
          <w:rFonts w:cs="Times New Roman"/>
          <w:szCs w:val="20"/>
          <w:lang w:eastAsia="ar-SA"/>
        </w:rPr>
      </w:pPr>
      <w:r w:rsidRPr="00C14ED0">
        <w:rPr>
          <w:rFonts w:cs="Times New Roman"/>
          <w:szCs w:val="20"/>
          <w:lang w:eastAsia="ar-SA"/>
        </w:rPr>
        <w:t>Die Geotextilien sind im Regelfall innerhalb von zwei Werktagen nach Einbau zu überbauen.</w:t>
      </w:r>
    </w:p>
    <w:p w:rsidR="00C14ED0" w:rsidRPr="00C14ED0" w:rsidRDefault="00C14ED0" w:rsidP="00C14ED0">
      <w:pPr>
        <w:suppressAutoHyphens/>
        <w:overflowPunct w:val="0"/>
        <w:autoSpaceDE w:val="0"/>
        <w:spacing w:line="360" w:lineRule="auto"/>
        <w:textAlignment w:val="baseline"/>
        <w:rPr>
          <w:rFonts w:cs="Times New Roman"/>
          <w:szCs w:val="20"/>
          <w:lang w:eastAsia="ar-SA"/>
        </w:rPr>
      </w:pPr>
      <w:r w:rsidRPr="00C14ED0">
        <w:rPr>
          <w:rFonts w:cs="Times New Roman"/>
          <w:szCs w:val="20"/>
          <w:lang w:eastAsia="ar-SA"/>
        </w:rPr>
        <w:t>Das setzt die fachtechnische Freigabe durch de</w:t>
      </w:r>
      <w:r>
        <w:rPr>
          <w:rFonts w:cs="Times New Roman"/>
          <w:szCs w:val="20"/>
          <w:lang w:eastAsia="ar-SA"/>
        </w:rPr>
        <w:t xml:space="preserve">n Fremdprüfer voraus. Durch das </w:t>
      </w:r>
      <w:r w:rsidRPr="00C14ED0">
        <w:rPr>
          <w:rFonts w:cs="Times New Roman"/>
          <w:szCs w:val="20"/>
          <w:lang w:eastAsia="ar-SA"/>
        </w:rPr>
        <w:t>zeitnahe Überbauen sollen temperaturbedingte Verf</w:t>
      </w:r>
      <w:r>
        <w:rPr>
          <w:rFonts w:cs="Times New Roman"/>
          <w:szCs w:val="20"/>
          <w:lang w:eastAsia="ar-SA"/>
        </w:rPr>
        <w:t xml:space="preserve">ormungen und Verschiebungen der </w:t>
      </w:r>
      <w:r w:rsidRPr="00C14ED0">
        <w:rPr>
          <w:rFonts w:cs="Times New Roman"/>
          <w:szCs w:val="20"/>
          <w:lang w:eastAsia="ar-SA"/>
        </w:rPr>
        <w:t>Geotextilien vermieden werden. Zusätzlich sind die Vor</w:t>
      </w:r>
      <w:r>
        <w:rPr>
          <w:rFonts w:cs="Times New Roman"/>
          <w:szCs w:val="20"/>
          <w:lang w:eastAsia="ar-SA"/>
        </w:rPr>
        <w:t xml:space="preserve">gaben der Zulassung im Hinblick </w:t>
      </w:r>
      <w:r w:rsidRPr="00C14ED0">
        <w:rPr>
          <w:rFonts w:cs="Times New Roman"/>
          <w:szCs w:val="20"/>
          <w:lang w:eastAsia="ar-SA"/>
        </w:rPr>
        <w:t>auf die zulässige Temperaturbeanspruchung und UV-Einwirkung zu berücksichtigen.</w:t>
      </w:r>
    </w:p>
    <w:p w:rsidR="00C14ED0" w:rsidRPr="00C14ED0" w:rsidRDefault="00C14ED0" w:rsidP="00C14ED0">
      <w:pPr>
        <w:suppressAutoHyphens/>
        <w:overflowPunct w:val="0"/>
        <w:autoSpaceDE w:val="0"/>
        <w:spacing w:line="360" w:lineRule="auto"/>
        <w:textAlignment w:val="baseline"/>
        <w:rPr>
          <w:rFonts w:cs="Times New Roman"/>
          <w:szCs w:val="20"/>
          <w:lang w:eastAsia="ar-SA"/>
        </w:rPr>
      </w:pPr>
      <w:r w:rsidRPr="00C14ED0">
        <w:rPr>
          <w:rFonts w:cs="Times New Roman"/>
          <w:szCs w:val="20"/>
          <w:lang w:eastAsia="ar-SA"/>
        </w:rPr>
        <w:t>Der Einbau der mineralischen Schichten auf den Geotextilie</w:t>
      </w:r>
      <w:r>
        <w:rPr>
          <w:rFonts w:cs="Times New Roman"/>
          <w:szCs w:val="20"/>
          <w:lang w:eastAsia="ar-SA"/>
        </w:rPr>
        <w:t xml:space="preserve">n darf nur erfolgen, wenn diese </w:t>
      </w:r>
      <w:r w:rsidRPr="00C14ED0">
        <w:rPr>
          <w:rFonts w:cs="Times New Roman"/>
          <w:szCs w:val="20"/>
          <w:lang w:eastAsia="ar-SA"/>
        </w:rPr>
        <w:t xml:space="preserve">weitgehend wellenfrei und entsprechend vollflächig </w:t>
      </w:r>
      <w:r>
        <w:rPr>
          <w:rFonts w:cs="Times New Roman"/>
          <w:szCs w:val="20"/>
          <w:lang w:eastAsia="ar-SA"/>
        </w:rPr>
        <w:t xml:space="preserve">auf der Stützschicht aufliegen. </w:t>
      </w:r>
      <w:r w:rsidRPr="00C14ED0">
        <w:rPr>
          <w:rFonts w:cs="Times New Roman"/>
          <w:szCs w:val="20"/>
          <w:lang w:eastAsia="ar-SA"/>
        </w:rPr>
        <w:t>Die mineralischen Schichten werden ausschließlich i</w:t>
      </w:r>
      <w:r>
        <w:rPr>
          <w:rFonts w:cs="Times New Roman"/>
          <w:szCs w:val="20"/>
          <w:lang w:eastAsia="ar-SA"/>
        </w:rPr>
        <w:t xml:space="preserve">m Vor-Kopf-Verfahren eingebaut. </w:t>
      </w:r>
      <w:r w:rsidRPr="00C14ED0">
        <w:rPr>
          <w:rFonts w:cs="Times New Roman"/>
          <w:szCs w:val="20"/>
          <w:lang w:eastAsia="ar-SA"/>
        </w:rPr>
        <w:t>Beim Materialtransport zur Einbaustelle sind grundsätzli</w:t>
      </w:r>
      <w:r>
        <w:rPr>
          <w:rFonts w:cs="Times New Roman"/>
          <w:szCs w:val="20"/>
          <w:lang w:eastAsia="ar-SA"/>
        </w:rPr>
        <w:t xml:space="preserve">ch Überfahrhöhen von mindestens 0,5 m bei Kettenfahrzeugen und </w:t>
      </w:r>
      <w:r w:rsidRPr="00C14ED0">
        <w:rPr>
          <w:rFonts w:cs="Times New Roman"/>
          <w:szCs w:val="20"/>
          <w:lang w:eastAsia="ar-SA"/>
        </w:rPr>
        <w:t xml:space="preserve">1.0 m </w:t>
      </w:r>
      <w:r>
        <w:rPr>
          <w:rFonts w:cs="Times New Roman"/>
          <w:szCs w:val="20"/>
          <w:lang w:eastAsia="ar-SA"/>
        </w:rPr>
        <w:t xml:space="preserve">bei Radfahrzeugen </w:t>
      </w:r>
      <w:r w:rsidRPr="00C14ED0">
        <w:rPr>
          <w:rFonts w:cs="Times New Roman"/>
          <w:szCs w:val="20"/>
          <w:lang w:eastAsia="ar-SA"/>
        </w:rPr>
        <w:t>einzuhalten. Die erste Lage selbst muss min</w:t>
      </w:r>
      <w:r>
        <w:rPr>
          <w:rFonts w:cs="Times New Roman"/>
          <w:szCs w:val="20"/>
          <w:lang w:eastAsia="ar-SA"/>
        </w:rPr>
        <w:t xml:space="preserve">desten 0,3 m dick sein und darf </w:t>
      </w:r>
      <w:r w:rsidRPr="00C14ED0">
        <w:rPr>
          <w:rFonts w:cs="Times New Roman"/>
          <w:szCs w:val="20"/>
          <w:lang w:eastAsia="ar-SA"/>
        </w:rPr>
        <w:t>nicht eingeschoben sondern muss aufgesetzt / aufgeschü</w:t>
      </w:r>
      <w:r>
        <w:rPr>
          <w:rFonts w:cs="Times New Roman"/>
          <w:szCs w:val="20"/>
          <w:lang w:eastAsia="ar-SA"/>
        </w:rPr>
        <w:t xml:space="preserve">ttet werden. Die weiteren Lagen </w:t>
      </w:r>
      <w:r w:rsidRPr="00C14ED0">
        <w:rPr>
          <w:rFonts w:cs="Times New Roman"/>
          <w:szCs w:val="20"/>
          <w:lang w:eastAsia="ar-SA"/>
        </w:rPr>
        <w:t>können eingeschoben werden. Die Überfahrhöhen so z</w:t>
      </w:r>
      <w:r>
        <w:rPr>
          <w:rFonts w:cs="Times New Roman"/>
          <w:szCs w:val="20"/>
          <w:lang w:eastAsia="ar-SA"/>
        </w:rPr>
        <w:t xml:space="preserve">u wählen, dass die Geotextilien </w:t>
      </w:r>
      <w:r w:rsidRPr="00C14ED0">
        <w:rPr>
          <w:rFonts w:cs="Times New Roman"/>
          <w:szCs w:val="20"/>
          <w:lang w:eastAsia="ar-SA"/>
        </w:rPr>
        <w:t>nachweislich nicht verschoben, nicht gezerrt und nicht un</w:t>
      </w:r>
      <w:r>
        <w:rPr>
          <w:rFonts w:cs="Times New Roman"/>
          <w:szCs w:val="20"/>
          <w:lang w:eastAsia="ar-SA"/>
        </w:rPr>
        <w:t xml:space="preserve">zulässig mechanisch beansprucht </w:t>
      </w:r>
      <w:r w:rsidRPr="00C14ED0">
        <w:rPr>
          <w:rFonts w:cs="Times New Roman"/>
          <w:szCs w:val="20"/>
          <w:lang w:eastAsia="ar-SA"/>
        </w:rPr>
        <w:t>werden. Die Vorgaben des von der zuständigen Behör</w:t>
      </w:r>
      <w:r>
        <w:rPr>
          <w:rFonts w:cs="Times New Roman"/>
          <w:szCs w:val="20"/>
          <w:lang w:eastAsia="ar-SA"/>
        </w:rPr>
        <w:t xml:space="preserve">de freigegebenen Einbaukonzepts </w:t>
      </w:r>
      <w:r w:rsidRPr="00C14ED0">
        <w:rPr>
          <w:rFonts w:cs="Times New Roman"/>
          <w:szCs w:val="20"/>
          <w:lang w:eastAsia="ar-SA"/>
        </w:rPr>
        <w:t>sind einzuhalten.</w:t>
      </w:r>
    </w:p>
    <w:p w:rsidR="00C14ED0" w:rsidRPr="00C14ED0" w:rsidRDefault="00C14ED0" w:rsidP="00C14ED0">
      <w:pPr>
        <w:suppressAutoHyphens/>
        <w:overflowPunct w:val="0"/>
        <w:autoSpaceDE w:val="0"/>
        <w:spacing w:line="360" w:lineRule="auto"/>
        <w:textAlignment w:val="baseline"/>
        <w:rPr>
          <w:rFonts w:cs="Times New Roman"/>
          <w:szCs w:val="20"/>
          <w:lang w:eastAsia="ar-SA"/>
        </w:rPr>
      </w:pPr>
      <w:r w:rsidRPr="00C14ED0">
        <w:rPr>
          <w:rFonts w:cs="Times New Roman"/>
          <w:szCs w:val="20"/>
          <w:lang w:eastAsia="ar-SA"/>
        </w:rPr>
        <w:t>Das direkte Befahren der Geotextilien mit Fahrzeugen und Baugeräten ist nicht zulässig.</w:t>
      </w:r>
    </w:p>
    <w:p w:rsidR="00C14ED0" w:rsidRDefault="00C14ED0" w:rsidP="00C14ED0">
      <w:pPr>
        <w:suppressAutoHyphens/>
        <w:overflowPunct w:val="0"/>
        <w:autoSpaceDE w:val="0"/>
        <w:spacing w:line="360" w:lineRule="auto"/>
        <w:textAlignment w:val="baseline"/>
        <w:rPr>
          <w:rFonts w:cs="Times New Roman"/>
          <w:b/>
          <w:szCs w:val="20"/>
          <w:lang w:eastAsia="ar-SA"/>
        </w:rPr>
      </w:pPr>
      <w:r w:rsidRPr="00C14ED0">
        <w:rPr>
          <w:rFonts w:cs="Times New Roman"/>
          <w:szCs w:val="20"/>
          <w:lang w:eastAsia="ar-SA"/>
        </w:rPr>
        <w:t>Der Einbau der mineralischen Schichten wird vom Fremdprüfer im Rahmen sein</w:t>
      </w:r>
      <w:r>
        <w:rPr>
          <w:rFonts w:cs="Times New Roman"/>
          <w:szCs w:val="20"/>
          <w:lang w:eastAsia="ar-SA"/>
        </w:rPr>
        <w:t xml:space="preserve">er </w:t>
      </w:r>
      <w:r w:rsidRPr="00C14ED0">
        <w:rPr>
          <w:rFonts w:cs="Times New Roman"/>
          <w:szCs w:val="20"/>
          <w:lang w:eastAsia="ar-SA"/>
        </w:rPr>
        <w:t>Baustellentermine kontrolliert.</w:t>
      </w:r>
      <w:r w:rsidRPr="00C14ED0">
        <w:rPr>
          <w:rFonts w:cs="Times New Roman"/>
          <w:b/>
          <w:szCs w:val="20"/>
          <w:lang w:eastAsia="ar-SA"/>
        </w:rPr>
        <w:t xml:space="preserve"> </w:t>
      </w:r>
    </w:p>
    <w:p w:rsidR="00322C9B" w:rsidRPr="0039461D" w:rsidRDefault="00322C9B" w:rsidP="009F60C9">
      <w:pPr>
        <w:suppressAutoHyphens/>
        <w:overflowPunct w:val="0"/>
        <w:autoSpaceDE w:val="0"/>
        <w:spacing w:after="220" w:line="360" w:lineRule="auto"/>
        <w:textAlignment w:val="baseline"/>
        <w:rPr>
          <w:rFonts w:cs="Times New Roman"/>
          <w:szCs w:val="20"/>
          <w:lang w:eastAsia="ar-SA"/>
        </w:rPr>
      </w:pPr>
      <w:r>
        <w:rPr>
          <w:rFonts w:cs="Times New Roman"/>
          <w:szCs w:val="20"/>
          <w:lang w:eastAsia="ar-SA"/>
        </w:rPr>
        <w:t xml:space="preserve">Ein offen liegenlassen der </w:t>
      </w:r>
      <w:r w:rsidR="00414BE3">
        <w:rPr>
          <w:rFonts w:cs="Times New Roman"/>
          <w:szCs w:val="20"/>
          <w:lang w:eastAsia="ar-SA"/>
        </w:rPr>
        <w:t>GT-FT</w:t>
      </w:r>
      <w:r>
        <w:rPr>
          <w:rFonts w:cs="Times New Roman"/>
          <w:szCs w:val="20"/>
          <w:lang w:eastAsia="ar-SA"/>
        </w:rPr>
        <w:t xml:space="preserve"> ohne Witterungsschutz ist nicht zulässig.</w:t>
      </w:r>
    </w:p>
    <w:sectPr w:rsidR="00322C9B" w:rsidRPr="0039461D" w:rsidSect="008E7A8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0C" w:rsidRDefault="00395E0C">
      <w:pPr>
        <w:spacing w:before="0" w:line="240" w:lineRule="auto"/>
      </w:pPr>
      <w:r>
        <w:separator/>
      </w:r>
    </w:p>
  </w:endnote>
  <w:endnote w:type="continuationSeparator" w:id="0">
    <w:p w:rsidR="00395E0C" w:rsidRDefault="00395E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0C" w:rsidRDefault="00395E0C"/>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395E0C">
      <w:tc>
        <w:tcPr>
          <w:tcW w:w="2950" w:type="dxa"/>
        </w:tcPr>
        <w:p w:rsidR="00395E0C" w:rsidRDefault="00395E0C">
          <w:pPr>
            <w:rPr>
              <w:sz w:val="16"/>
            </w:rPr>
          </w:pPr>
        </w:p>
      </w:tc>
      <w:tc>
        <w:tcPr>
          <w:tcW w:w="2520" w:type="dxa"/>
        </w:tcPr>
        <w:p w:rsidR="00395E0C" w:rsidRDefault="00395E0C">
          <w:pPr>
            <w:tabs>
              <w:tab w:val="center" w:pos="4171"/>
            </w:tabs>
            <w:rPr>
              <w:sz w:val="12"/>
            </w:rPr>
          </w:pPr>
        </w:p>
      </w:tc>
      <w:tc>
        <w:tcPr>
          <w:tcW w:w="1800" w:type="dxa"/>
        </w:tcPr>
        <w:p w:rsidR="00395E0C" w:rsidRDefault="00395E0C">
          <w:pPr>
            <w:tabs>
              <w:tab w:val="left" w:pos="1629"/>
            </w:tabs>
            <w:rPr>
              <w:sz w:val="16"/>
            </w:rPr>
          </w:pPr>
        </w:p>
      </w:tc>
      <w:tc>
        <w:tcPr>
          <w:tcW w:w="1980" w:type="dxa"/>
        </w:tcPr>
        <w:p w:rsidR="00395E0C" w:rsidRDefault="00395E0C">
          <w:pPr>
            <w:jc w:val="right"/>
          </w:pPr>
          <w:r>
            <w:t xml:space="preserve">Seite </w:t>
          </w:r>
          <w:r>
            <w:fldChar w:fldCharType="begin"/>
          </w:r>
          <w:r>
            <w:instrText xml:space="preserve"> PAGE </w:instrText>
          </w:r>
          <w:r>
            <w:fldChar w:fldCharType="separate"/>
          </w:r>
          <w:r w:rsidR="00BD14A3">
            <w:rPr>
              <w:noProof/>
            </w:rPr>
            <w:t>5</w:t>
          </w:r>
          <w:r>
            <w:fldChar w:fldCharType="end"/>
          </w:r>
        </w:p>
      </w:tc>
    </w:tr>
  </w:tbl>
  <w:p w:rsidR="00395E0C" w:rsidRDefault="00395E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0C" w:rsidRDefault="00395E0C">
      <w:pPr>
        <w:spacing w:before="0" w:line="240" w:lineRule="auto"/>
      </w:pPr>
      <w:r>
        <w:separator/>
      </w:r>
    </w:p>
  </w:footnote>
  <w:footnote w:type="continuationSeparator" w:id="0">
    <w:p w:rsidR="00395E0C" w:rsidRDefault="00395E0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0C" w:rsidRDefault="00395E0C">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D1B2664"/>
    <w:multiLevelType w:val="hybridMultilevel"/>
    <w:tmpl w:val="43185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62788C"/>
    <w:multiLevelType w:val="hybridMultilevel"/>
    <w:tmpl w:val="A432B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9">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AED215B"/>
    <w:multiLevelType w:val="hybridMultilevel"/>
    <w:tmpl w:val="B6B496D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1">
    <w:nsid w:val="4B757ADB"/>
    <w:multiLevelType w:val="hybridMultilevel"/>
    <w:tmpl w:val="DB3C22DA"/>
    <w:lvl w:ilvl="0" w:tplc="E49001E8">
      <w:start w:val="1"/>
      <w:numFmt w:val="decimal"/>
      <w:lvlText w:val="B2. %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2">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2F3DAA"/>
    <w:multiLevelType w:val="multilevel"/>
    <w:tmpl w:val="6F188DE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8">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9">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21">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3">
    <w:nsid w:val="729330C9"/>
    <w:multiLevelType w:val="multilevel"/>
    <w:tmpl w:val="4288C296"/>
    <w:lvl w:ilvl="0">
      <w:start w:val="1"/>
      <w:numFmt w:val="decimal"/>
      <w:lvlText w:val="%1."/>
      <w:lvlJc w:val="left"/>
      <w:pPr>
        <w:tabs>
          <w:tab w:val="num" w:pos="789"/>
        </w:tabs>
        <w:ind w:left="789" w:hanging="432"/>
      </w:pPr>
      <w:rPr>
        <w:rFonts w:hint="default"/>
        <w:b/>
        <w:bCs/>
        <w:i w:val="0"/>
        <w:iCs w:val="0"/>
        <w:sz w:val="28"/>
        <w:szCs w:val="28"/>
      </w:rPr>
    </w:lvl>
    <w:lvl w:ilvl="1">
      <w:start w:val="1"/>
      <w:numFmt w:val="decimal"/>
      <w:lvlText w:val="%1.%2"/>
      <w:lvlJc w:val="left"/>
      <w:pPr>
        <w:tabs>
          <w:tab w:val="num" w:pos="933"/>
        </w:tabs>
        <w:ind w:left="933" w:hanging="933"/>
      </w:pPr>
      <w:rPr>
        <w:rFonts w:hint="default"/>
        <w:b/>
        <w:bCs/>
        <w:i w:val="0"/>
        <w:iCs w:val="0"/>
        <w:sz w:val="26"/>
        <w:szCs w:val="26"/>
      </w:rPr>
    </w:lvl>
    <w:lvl w:ilvl="2">
      <w:start w:val="1"/>
      <w:numFmt w:val="none"/>
      <w:lvlText w:val="2.4.3"/>
      <w:lvlJc w:val="left"/>
      <w:pPr>
        <w:tabs>
          <w:tab w:val="num" w:pos="1077"/>
        </w:tabs>
        <w:ind w:left="1077" w:hanging="720"/>
      </w:pPr>
      <w:rPr>
        <w:rFonts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1.%2.%3%4"/>
      <w:lvlJc w:val="left"/>
      <w:pPr>
        <w:tabs>
          <w:tab w:val="num" w:pos="1221"/>
        </w:tabs>
        <w:ind w:left="1221" w:hanging="864"/>
      </w:pPr>
      <w:rPr>
        <w:rFonts w:hint="default"/>
        <w:b/>
        <w:bCs/>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decimal"/>
      <w:lvlText w:val="%1.%2.%3.%4.%5"/>
      <w:lvlJc w:val="left"/>
      <w:pPr>
        <w:tabs>
          <w:tab w:val="num" w:pos="1365"/>
        </w:tabs>
        <w:ind w:left="1365" w:hanging="1008"/>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24">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21"/>
  </w:num>
  <w:num w:numId="4">
    <w:abstractNumId w:val="26"/>
  </w:num>
  <w:num w:numId="5">
    <w:abstractNumId w:val="2"/>
  </w:num>
  <w:num w:numId="6">
    <w:abstractNumId w:val="18"/>
  </w:num>
  <w:num w:numId="7">
    <w:abstractNumId w:val="12"/>
  </w:num>
  <w:num w:numId="8">
    <w:abstractNumId w:val="6"/>
  </w:num>
  <w:num w:numId="9">
    <w:abstractNumId w:val="9"/>
  </w:num>
  <w:num w:numId="10">
    <w:abstractNumId w:val="22"/>
  </w:num>
  <w:num w:numId="11">
    <w:abstractNumId w:val="22"/>
  </w:num>
  <w:num w:numId="12">
    <w:abstractNumId w:val="19"/>
  </w:num>
  <w:num w:numId="13">
    <w:abstractNumId w:val="1"/>
  </w:num>
  <w:num w:numId="14">
    <w:abstractNumId w:val="15"/>
  </w:num>
  <w:num w:numId="15">
    <w:abstractNumId w:val="20"/>
  </w:num>
  <w:num w:numId="16">
    <w:abstractNumId w:val="8"/>
  </w:num>
  <w:num w:numId="17">
    <w:abstractNumId w:val="13"/>
  </w:num>
  <w:num w:numId="18">
    <w:abstractNumId w:val="0"/>
  </w:num>
  <w:num w:numId="19">
    <w:abstractNumId w:val="24"/>
  </w:num>
  <w:num w:numId="20">
    <w:abstractNumId w:val="4"/>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7"/>
  </w:num>
  <w:num w:numId="25">
    <w:abstractNumId w:val="11"/>
  </w:num>
  <w:num w:numId="26">
    <w:abstractNumId w:val="16"/>
  </w:num>
  <w:num w:numId="27">
    <w:abstractNumId w:val="23"/>
  </w:num>
  <w:num w:numId="28">
    <w:abstractNumId w:val="10"/>
  </w:num>
  <w:num w:numId="29">
    <w:abstractNumId w:val="16"/>
  </w:num>
  <w:num w:numId="30">
    <w:abstractNumId w:val="16"/>
  </w:num>
  <w:num w:numId="31">
    <w:abstractNumId w:val="16"/>
  </w:num>
  <w:num w:numId="32">
    <w:abstractNumId w:val="16"/>
  </w:num>
  <w:num w:numId="33">
    <w:abstractNumId w:val="3"/>
  </w:num>
  <w:num w:numId="34">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autoHyphenation/>
  <w:hyphenationZone w:val="425"/>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C8"/>
    <w:rsid w:val="000074F0"/>
    <w:rsid w:val="0001057A"/>
    <w:rsid w:val="00015979"/>
    <w:rsid w:val="00017033"/>
    <w:rsid w:val="0002092C"/>
    <w:rsid w:val="00025A10"/>
    <w:rsid w:val="00033C1C"/>
    <w:rsid w:val="00036FC0"/>
    <w:rsid w:val="000424B3"/>
    <w:rsid w:val="0004388B"/>
    <w:rsid w:val="000440E6"/>
    <w:rsid w:val="000441BA"/>
    <w:rsid w:val="000451AE"/>
    <w:rsid w:val="000469C8"/>
    <w:rsid w:val="00060277"/>
    <w:rsid w:val="00061747"/>
    <w:rsid w:val="0006276F"/>
    <w:rsid w:val="00064035"/>
    <w:rsid w:val="00064E8A"/>
    <w:rsid w:val="00077510"/>
    <w:rsid w:val="00082616"/>
    <w:rsid w:val="000969DB"/>
    <w:rsid w:val="0009783F"/>
    <w:rsid w:val="000A1D2A"/>
    <w:rsid w:val="000A4F33"/>
    <w:rsid w:val="000A5295"/>
    <w:rsid w:val="000A5884"/>
    <w:rsid w:val="000A5A3F"/>
    <w:rsid w:val="000A76BC"/>
    <w:rsid w:val="000A7D96"/>
    <w:rsid w:val="000B16D6"/>
    <w:rsid w:val="000C3C70"/>
    <w:rsid w:val="000D6060"/>
    <w:rsid w:val="000E0A22"/>
    <w:rsid w:val="000F02D3"/>
    <w:rsid w:val="000F114E"/>
    <w:rsid w:val="000F7C58"/>
    <w:rsid w:val="00103024"/>
    <w:rsid w:val="00103879"/>
    <w:rsid w:val="001072E7"/>
    <w:rsid w:val="00113AA2"/>
    <w:rsid w:val="001140FB"/>
    <w:rsid w:val="001141F1"/>
    <w:rsid w:val="00117266"/>
    <w:rsid w:val="00117D21"/>
    <w:rsid w:val="001226AD"/>
    <w:rsid w:val="00126C67"/>
    <w:rsid w:val="0013009B"/>
    <w:rsid w:val="001301CE"/>
    <w:rsid w:val="001313BB"/>
    <w:rsid w:val="0013220C"/>
    <w:rsid w:val="0013443C"/>
    <w:rsid w:val="00134A0C"/>
    <w:rsid w:val="00135FF8"/>
    <w:rsid w:val="001409F0"/>
    <w:rsid w:val="00142754"/>
    <w:rsid w:val="0014477B"/>
    <w:rsid w:val="001542D5"/>
    <w:rsid w:val="00154390"/>
    <w:rsid w:val="00155C75"/>
    <w:rsid w:val="00157258"/>
    <w:rsid w:val="001615C8"/>
    <w:rsid w:val="00167071"/>
    <w:rsid w:val="001703C0"/>
    <w:rsid w:val="00170844"/>
    <w:rsid w:val="00171ADC"/>
    <w:rsid w:val="00172358"/>
    <w:rsid w:val="00175670"/>
    <w:rsid w:val="001758E2"/>
    <w:rsid w:val="00185936"/>
    <w:rsid w:val="00193C60"/>
    <w:rsid w:val="00196C2A"/>
    <w:rsid w:val="00196DCA"/>
    <w:rsid w:val="001A15FE"/>
    <w:rsid w:val="001A24BD"/>
    <w:rsid w:val="001A77E7"/>
    <w:rsid w:val="001B250F"/>
    <w:rsid w:val="001B2EDB"/>
    <w:rsid w:val="001B5813"/>
    <w:rsid w:val="001B6E81"/>
    <w:rsid w:val="001C11C2"/>
    <w:rsid w:val="001C3B80"/>
    <w:rsid w:val="001D071B"/>
    <w:rsid w:val="001D5E49"/>
    <w:rsid w:val="001E1A35"/>
    <w:rsid w:val="001E22B9"/>
    <w:rsid w:val="001E4C40"/>
    <w:rsid w:val="001E696C"/>
    <w:rsid w:val="001F54A9"/>
    <w:rsid w:val="001F7F4D"/>
    <w:rsid w:val="00205884"/>
    <w:rsid w:val="0020666D"/>
    <w:rsid w:val="0021266F"/>
    <w:rsid w:val="00217536"/>
    <w:rsid w:val="00234ADD"/>
    <w:rsid w:val="00235D8B"/>
    <w:rsid w:val="0024009C"/>
    <w:rsid w:val="00240FF7"/>
    <w:rsid w:val="00241F18"/>
    <w:rsid w:val="00244852"/>
    <w:rsid w:val="002472CD"/>
    <w:rsid w:val="00247A0E"/>
    <w:rsid w:val="002506E3"/>
    <w:rsid w:val="00252FB2"/>
    <w:rsid w:val="00256CA9"/>
    <w:rsid w:val="002617DD"/>
    <w:rsid w:val="00262FC3"/>
    <w:rsid w:val="00272DA8"/>
    <w:rsid w:val="00280E70"/>
    <w:rsid w:val="002816F0"/>
    <w:rsid w:val="00290397"/>
    <w:rsid w:val="00291172"/>
    <w:rsid w:val="002A08BA"/>
    <w:rsid w:val="002A1E52"/>
    <w:rsid w:val="002A2CC5"/>
    <w:rsid w:val="002A527D"/>
    <w:rsid w:val="002A6049"/>
    <w:rsid w:val="002B0C0E"/>
    <w:rsid w:val="002B0DBE"/>
    <w:rsid w:val="002B6463"/>
    <w:rsid w:val="002C1DD5"/>
    <w:rsid w:val="002C3965"/>
    <w:rsid w:val="002D2C08"/>
    <w:rsid w:val="002D395D"/>
    <w:rsid w:val="002D4CE1"/>
    <w:rsid w:val="002E058B"/>
    <w:rsid w:val="002E1244"/>
    <w:rsid w:val="002E1D8E"/>
    <w:rsid w:val="002E3A51"/>
    <w:rsid w:val="002E4672"/>
    <w:rsid w:val="002E73E5"/>
    <w:rsid w:val="002E7BE2"/>
    <w:rsid w:val="002F362D"/>
    <w:rsid w:val="002F65F1"/>
    <w:rsid w:val="00300557"/>
    <w:rsid w:val="00301A01"/>
    <w:rsid w:val="00302FB9"/>
    <w:rsid w:val="00304105"/>
    <w:rsid w:val="00304CAF"/>
    <w:rsid w:val="00307019"/>
    <w:rsid w:val="0031083D"/>
    <w:rsid w:val="0031253A"/>
    <w:rsid w:val="00313BF9"/>
    <w:rsid w:val="00315FA9"/>
    <w:rsid w:val="003167B8"/>
    <w:rsid w:val="00322C9B"/>
    <w:rsid w:val="003231D1"/>
    <w:rsid w:val="00326496"/>
    <w:rsid w:val="0032669A"/>
    <w:rsid w:val="00330912"/>
    <w:rsid w:val="003338AC"/>
    <w:rsid w:val="0033719D"/>
    <w:rsid w:val="0034336D"/>
    <w:rsid w:val="00346C0F"/>
    <w:rsid w:val="00351F0A"/>
    <w:rsid w:val="0035779F"/>
    <w:rsid w:val="0036091F"/>
    <w:rsid w:val="00361E3E"/>
    <w:rsid w:val="003632CE"/>
    <w:rsid w:val="0036482C"/>
    <w:rsid w:val="00366448"/>
    <w:rsid w:val="00366A08"/>
    <w:rsid w:val="00370652"/>
    <w:rsid w:val="00382314"/>
    <w:rsid w:val="00382E7C"/>
    <w:rsid w:val="00390867"/>
    <w:rsid w:val="00390E56"/>
    <w:rsid w:val="00395E0C"/>
    <w:rsid w:val="003A7E12"/>
    <w:rsid w:val="003B37BD"/>
    <w:rsid w:val="003B41FC"/>
    <w:rsid w:val="003B5F4B"/>
    <w:rsid w:val="003B6C05"/>
    <w:rsid w:val="003C5548"/>
    <w:rsid w:val="003D51EA"/>
    <w:rsid w:val="003D5FFC"/>
    <w:rsid w:val="003E2E87"/>
    <w:rsid w:val="003E346A"/>
    <w:rsid w:val="003E383F"/>
    <w:rsid w:val="003F23E1"/>
    <w:rsid w:val="003F287D"/>
    <w:rsid w:val="00404BCA"/>
    <w:rsid w:val="00405178"/>
    <w:rsid w:val="00410404"/>
    <w:rsid w:val="004118F6"/>
    <w:rsid w:val="00414BE3"/>
    <w:rsid w:val="00417C9C"/>
    <w:rsid w:val="004233F4"/>
    <w:rsid w:val="00423635"/>
    <w:rsid w:val="00426683"/>
    <w:rsid w:val="004347A1"/>
    <w:rsid w:val="00435736"/>
    <w:rsid w:val="00436602"/>
    <w:rsid w:val="00442682"/>
    <w:rsid w:val="00446CA8"/>
    <w:rsid w:val="00450498"/>
    <w:rsid w:val="0045063B"/>
    <w:rsid w:val="004633D5"/>
    <w:rsid w:val="00471E2B"/>
    <w:rsid w:val="00471F1F"/>
    <w:rsid w:val="00474FDB"/>
    <w:rsid w:val="00477B7A"/>
    <w:rsid w:val="00487721"/>
    <w:rsid w:val="00491CF4"/>
    <w:rsid w:val="00494457"/>
    <w:rsid w:val="00497B6E"/>
    <w:rsid w:val="004A14D7"/>
    <w:rsid w:val="004A1580"/>
    <w:rsid w:val="004A5893"/>
    <w:rsid w:val="004A60B6"/>
    <w:rsid w:val="004B21E0"/>
    <w:rsid w:val="004B7531"/>
    <w:rsid w:val="004B7561"/>
    <w:rsid w:val="004C6328"/>
    <w:rsid w:val="004C77B8"/>
    <w:rsid w:val="004D64BA"/>
    <w:rsid w:val="004E21FD"/>
    <w:rsid w:val="004E74D4"/>
    <w:rsid w:val="004E7D7B"/>
    <w:rsid w:val="004F4878"/>
    <w:rsid w:val="0050148A"/>
    <w:rsid w:val="00505771"/>
    <w:rsid w:val="00511A32"/>
    <w:rsid w:val="00520946"/>
    <w:rsid w:val="005224E3"/>
    <w:rsid w:val="0052584A"/>
    <w:rsid w:val="00526858"/>
    <w:rsid w:val="00527536"/>
    <w:rsid w:val="00527C27"/>
    <w:rsid w:val="00530E5F"/>
    <w:rsid w:val="00533072"/>
    <w:rsid w:val="005331E2"/>
    <w:rsid w:val="00534A50"/>
    <w:rsid w:val="00536EA6"/>
    <w:rsid w:val="0053785F"/>
    <w:rsid w:val="00543639"/>
    <w:rsid w:val="00543E1C"/>
    <w:rsid w:val="00544368"/>
    <w:rsid w:val="005475E9"/>
    <w:rsid w:val="005507E7"/>
    <w:rsid w:val="00553409"/>
    <w:rsid w:val="00554E44"/>
    <w:rsid w:val="0055686B"/>
    <w:rsid w:val="00565C1B"/>
    <w:rsid w:val="00573BE5"/>
    <w:rsid w:val="00575B3A"/>
    <w:rsid w:val="005808A1"/>
    <w:rsid w:val="00580A20"/>
    <w:rsid w:val="00593380"/>
    <w:rsid w:val="005975FA"/>
    <w:rsid w:val="005A102B"/>
    <w:rsid w:val="005A49AB"/>
    <w:rsid w:val="005A4B44"/>
    <w:rsid w:val="005A59B7"/>
    <w:rsid w:val="005A698A"/>
    <w:rsid w:val="005B7FF1"/>
    <w:rsid w:val="005C1DDD"/>
    <w:rsid w:val="005C4389"/>
    <w:rsid w:val="005C43BB"/>
    <w:rsid w:val="005D43DA"/>
    <w:rsid w:val="005D5300"/>
    <w:rsid w:val="005E54D9"/>
    <w:rsid w:val="005F61C5"/>
    <w:rsid w:val="005F624E"/>
    <w:rsid w:val="00600D1D"/>
    <w:rsid w:val="00600D3D"/>
    <w:rsid w:val="00602D44"/>
    <w:rsid w:val="006119C0"/>
    <w:rsid w:val="00613C9A"/>
    <w:rsid w:val="00613D9F"/>
    <w:rsid w:val="0061400C"/>
    <w:rsid w:val="00614333"/>
    <w:rsid w:val="00614B9A"/>
    <w:rsid w:val="006272E6"/>
    <w:rsid w:val="00632882"/>
    <w:rsid w:val="0063395F"/>
    <w:rsid w:val="00640039"/>
    <w:rsid w:val="00643FC5"/>
    <w:rsid w:val="00644297"/>
    <w:rsid w:val="00652876"/>
    <w:rsid w:val="00653AF3"/>
    <w:rsid w:val="00657108"/>
    <w:rsid w:val="006600A4"/>
    <w:rsid w:val="006627A1"/>
    <w:rsid w:val="00666921"/>
    <w:rsid w:val="00667591"/>
    <w:rsid w:val="00673114"/>
    <w:rsid w:val="00675EA1"/>
    <w:rsid w:val="00676574"/>
    <w:rsid w:val="0068065B"/>
    <w:rsid w:val="006811FB"/>
    <w:rsid w:val="0068452A"/>
    <w:rsid w:val="00685421"/>
    <w:rsid w:val="00695F82"/>
    <w:rsid w:val="00697CD2"/>
    <w:rsid w:val="006A557A"/>
    <w:rsid w:val="006A7FD5"/>
    <w:rsid w:val="006B27D7"/>
    <w:rsid w:val="006B69D9"/>
    <w:rsid w:val="006C030F"/>
    <w:rsid w:val="006C08F3"/>
    <w:rsid w:val="006C0CDA"/>
    <w:rsid w:val="006C4435"/>
    <w:rsid w:val="006C5B9B"/>
    <w:rsid w:val="006C6D0F"/>
    <w:rsid w:val="006D07FB"/>
    <w:rsid w:val="006D7C5E"/>
    <w:rsid w:val="006D7E23"/>
    <w:rsid w:val="006E0B68"/>
    <w:rsid w:val="006E203D"/>
    <w:rsid w:val="006E29ED"/>
    <w:rsid w:val="006E2E16"/>
    <w:rsid w:val="006E37E4"/>
    <w:rsid w:val="006E71F1"/>
    <w:rsid w:val="006E7DF8"/>
    <w:rsid w:val="00700A30"/>
    <w:rsid w:val="007016B3"/>
    <w:rsid w:val="00702EC2"/>
    <w:rsid w:val="00704EBD"/>
    <w:rsid w:val="007115C3"/>
    <w:rsid w:val="00715CE1"/>
    <w:rsid w:val="0072139F"/>
    <w:rsid w:val="0072232C"/>
    <w:rsid w:val="00722FA8"/>
    <w:rsid w:val="007238EE"/>
    <w:rsid w:val="00723ED0"/>
    <w:rsid w:val="00723F8F"/>
    <w:rsid w:val="00726EDA"/>
    <w:rsid w:val="00733A3C"/>
    <w:rsid w:val="0073427C"/>
    <w:rsid w:val="00734638"/>
    <w:rsid w:val="00734927"/>
    <w:rsid w:val="00735233"/>
    <w:rsid w:val="00743358"/>
    <w:rsid w:val="00745EF1"/>
    <w:rsid w:val="00751451"/>
    <w:rsid w:val="00752B95"/>
    <w:rsid w:val="00753A0A"/>
    <w:rsid w:val="007561D7"/>
    <w:rsid w:val="007577A4"/>
    <w:rsid w:val="00757CD5"/>
    <w:rsid w:val="00760C54"/>
    <w:rsid w:val="00762A39"/>
    <w:rsid w:val="007729DE"/>
    <w:rsid w:val="0077761A"/>
    <w:rsid w:val="007A455D"/>
    <w:rsid w:val="007A4C12"/>
    <w:rsid w:val="007B3BC4"/>
    <w:rsid w:val="007B7598"/>
    <w:rsid w:val="007C352C"/>
    <w:rsid w:val="007C7DF9"/>
    <w:rsid w:val="007D21A1"/>
    <w:rsid w:val="007D6890"/>
    <w:rsid w:val="007D6CD5"/>
    <w:rsid w:val="007E7F81"/>
    <w:rsid w:val="007F5987"/>
    <w:rsid w:val="00800556"/>
    <w:rsid w:val="00802963"/>
    <w:rsid w:val="0080659E"/>
    <w:rsid w:val="0081038D"/>
    <w:rsid w:val="00813A28"/>
    <w:rsid w:val="00814A73"/>
    <w:rsid w:val="0082754B"/>
    <w:rsid w:val="00830E3C"/>
    <w:rsid w:val="00830F71"/>
    <w:rsid w:val="00833222"/>
    <w:rsid w:val="008359EB"/>
    <w:rsid w:val="00835CBE"/>
    <w:rsid w:val="00840DF9"/>
    <w:rsid w:val="00845C66"/>
    <w:rsid w:val="008500B6"/>
    <w:rsid w:val="00852079"/>
    <w:rsid w:val="00856B1B"/>
    <w:rsid w:val="00864ECD"/>
    <w:rsid w:val="00867D32"/>
    <w:rsid w:val="00875240"/>
    <w:rsid w:val="0088086F"/>
    <w:rsid w:val="008840CD"/>
    <w:rsid w:val="00887B70"/>
    <w:rsid w:val="00897273"/>
    <w:rsid w:val="008A104B"/>
    <w:rsid w:val="008B14D7"/>
    <w:rsid w:val="008B60BE"/>
    <w:rsid w:val="008B7755"/>
    <w:rsid w:val="008C1CDC"/>
    <w:rsid w:val="008C389D"/>
    <w:rsid w:val="008C4B0C"/>
    <w:rsid w:val="008C55AE"/>
    <w:rsid w:val="008C63F6"/>
    <w:rsid w:val="008E64DF"/>
    <w:rsid w:val="008E665E"/>
    <w:rsid w:val="008E7545"/>
    <w:rsid w:val="008E7A89"/>
    <w:rsid w:val="008F7B3A"/>
    <w:rsid w:val="00900745"/>
    <w:rsid w:val="00910B88"/>
    <w:rsid w:val="00911C1D"/>
    <w:rsid w:val="00911CAF"/>
    <w:rsid w:val="0091385A"/>
    <w:rsid w:val="009139CC"/>
    <w:rsid w:val="0091739C"/>
    <w:rsid w:val="00917671"/>
    <w:rsid w:val="00921D70"/>
    <w:rsid w:val="00925A6D"/>
    <w:rsid w:val="00926848"/>
    <w:rsid w:val="00930B8F"/>
    <w:rsid w:val="0093247F"/>
    <w:rsid w:val="00933FF4"/>
    <w:rsid w:val="00935055"/>
    <w:rsid w:val="00935E08"/>
    <w:rsid w:val="0093610D"/>
    <w:rsid w:val="00940E7F"/>
    <w:rsid w:val="00951D18"/>
    <w:rsid w:val="00953D23"/>
    <w:rsid w:val="009558D6"/>
    <w:rsid w:val="00957F9B"/>
    <w:rsid w:val="009738CD"/>
    <w:rsid w:val="009754A1"/>
    <w:rsid w:val="00977B35"/>
    <w:rsid w:val="00981C88"/>
    <w:rsid w:val="0098268B"/>
    <w:rsid w:val="00982ABD"/>
    <w:rsid w:val="0099231F"/>
    <w:rsid w:val="00992F61"/>
    <w:rsid w:val="0099319A"/>
    <w:rsid w:val="009A0531"/>
    <w:rsid w:val="009A0CE6"/>
    <w:rsid w:val="009A2501"/>
    <w:rsid w:val="009A3DAC"/>
    <w:rsid w:val="009A66C7"/>
    <w:rsid w:val="009C2861"/>
    <w:rsid w:val="009C4950"/>
    <w:rsid w:val="009C6395"/>
    <w:rsid w:val="009C6D5B"/>
    <w:rsid w:val="009D157F"/>
    <w:rsid w:val="009D7555"/>
    <w:rsid w:val="009E719C"/>
    <w:rsid w:val="009E786A"/>
    <w:rsid w:val="009F314D"/>
    <w:rsid w:val="009F501C"/>
    <w:rsid w:val="009F60C9"/>
    <w:rsid w:val="009F69CC"/>
    <w:rsid w:val="00A0160A"/>
    <w:rsid w:val="00A119DE"/>
    <w:rsid w:val="00A17389"/>
    <w:rsid w:val="00A175CB"/>
    <w:rsid w:val="00A22D71"/>
    <w:rsid w:val="00A239F0"/>
    <w:rsid w:val="00A24BBB"/>
    <w:rsid w:val="00A30B8A"/>
    <w:rsid w:val="00A45DCD"/>
    <w:rsid w:val="00A47210"/>
    <w:rsid w:val="00A52D0E"/>
    <w:rsid w:val="00A53B1B"/>
    <w:rsid w:val="00A54E84"/>
    <w:rsid w:val="00A55047"/>
    <w:rsid w:val="00A55227"/>
    <w:rsid w:val="00A56416"/>
    <w:rsid w:val="00A63501"/>
    <w:rsid w:val="00A673BF"/>
    <w:rsid w:val="00A67C3B"/>
    <w:rsid w:val="00A71698"/>
    <w:rsid w:val="00A72572"/>
    <w:rsid w:val="00A755D9"/>
    <w:rsid w:val="00A83282"/>
    <w:rsid w:val="00A866F7"/>
    <w:rsid w:val="00A879DC"/>
    <w:rsid w:val="00A92865"/>
    <w:rsid w:val="00A976E0"/>
    <w:rsid w:val="00AA0299"/>
    <w:rsid w:val="00AA22EC"/>
    <w:rsid w:val="00AA3A66"/>
    <w:rsid w:val="00AA3EB4"/>
    <w:rsid w:val="00AA5019"/>
    <w:rsid w:val="00AB5529"/>
    <w:rsid w:val="00AB6041"/>
    <w:rsid w:val="00AC0DCC"/>
    <w:rsid w:val="00AC0F69"/>
    <w:rsid w:val="00AC4340"/>
    <w:rsid w:val="00AC45AF"/>
    <w:rsid w:val="00AC5DBE"/>
    <w:rsid w:val="00AE4723"/>
    <w:rsid w:val="00AE5715"/>
    <w:rsid w:val="00AE6549"/>
    <w:rsid w:val="00AF2F9C"/>
    <w:rsid w:val="00AF520B"/>
    <w:rsid w:val="00B01E5A"/>
    <w:rsid w:val="00B044AE"/>
    <w:rsid w:val="00B05B22"/>
    <w:rsid w:val="00B12D37"/>
    <w:rsid w:val="00B156FF"/>
    <w:rsid w:val="00B17DB1"/>
    <w:rsid w:val="00B20310"/>
    <w:rsid w:val="00B22C49"/>
    <w:rsid w:val="00B2365B"/>
    <w:rsid w:val="00B23BDE"/>
    <w:rsid w:val="00B2426A"/>
    <w:rsid w:val="00B24AFA"/>
    <w:rsid w:val="00B2569B"/>
    <w:rsid w:val="00B275A3"/>
    <w:rsid w:val="00B451C8"/>
    <w:rsid w:val="00B46B41"/>
    <w:rsid w:val="00B471C2"/>
    <w:rsid w:val="00B540E6"/>
    <w:rsid w:val="00B63CBF"/>
    <w:rsid w:val="00B72F8D"/>
    <w:rsid w:val="00B73E8E"/>
    <w:rsid w:val="00B7580B"/>
    <w:rsid w:val="00B778C5"/>
    <w:rsid w:val="00B80196"/>
    <w:rsid w:val="00B82E4B"/>
    <w:rsid w:val="00B91673"/>
    <w:rsid w:val="00B977BA"/>
    <w:rsid w:val="00BA116B"/>
    <w:rsid w:val="00BB5839"/>
    <w:rsid w:val="00BB67BD"/>
    <w:rsid w:val="00BC21AE"/>
    <w:rsid w:val="00BD14A3"/>
    <w:rsid w:val="00BD4CDB"/>
    <w:rsid w:val="00BE57E5"/>
    <w:rsid w:val="00BE6FF8"/>
    <w:rsid w:val="00BF0739"/>
    <w:rsid w:val="00BF0F27"/>
    <w:rsid w:val="00BF2112"/>
    <w:rsid w:val="00BF342C"/>
    <w:rsid w:val="00BF4B1F"/>
    <w:rsid w:val="00BF78CE"/>
    <w:rsid w:val="00C02384"/>
    <w:rsid w:val="00C02E24"/>
    <w:rsid w:val="00C0625B"/>
    <w:rsid w:val="00C14ED0"/>
    <w:rsid w:val="00C1598B"/>
    <w:rsid w:val="00C16C76"/>
    <w:rsid w:val="00C21C95"/>
    <w:rsid w:val="00C2465F"/>
    <w:rsid w:val="00C309D2"/>
    <w:rsid w:val="00C34FA3"/>
    <w:rsid w:val="00C3563A"/>
    <w:rsid w:val="00C35929"/>
    <w:rsid w:val="00C423D9"/>
    <w:rsid w:val="00C42A3D"/>
    <w:rsid w:val="00C432E9"/>
    <w:rsid w:val="00C47D71"/>
    <w:rsid w:val="00C52089"/>
    <w:rsid w:val="00C53188"/>
    <w:rsid w:val="00C54144"/>
    <w:rsid w:val="00C55095"/>
    <w:rsid w:val="00C55491"/>
    <w:rsid w:val="00C558D8"/>
    <w:rsid w:val="00C609C5"/>
    <w:rsid w:val="00C63551"/>
    <w:rsid w:val="00C63E1D"/>
    <w:rsid w:val="00C6561B"/>
    <w:rsid w:val="00C671A3"/>
    <w:rsid w:val="00C71EF1"/>
    <w:rsid w:val="00C72F10"/>
    <w:rsid w:val="00C80798"/>
    <w:rsid w:val="00C80FB4"/>
    <w:rsid w:val="00C81522"/>
    <w:rsid w:val="00C8232F"/>
    <w:rsid w:val="00C96222"/>
    <w:rsid w:val="00CA388C"/>
    <w:rsid w:val="00CA49CD"/>
    <w:rsid w:val="00CA6935"/>
    <w:rsid w:val="00CA79E3"/>
    <w:rsid w:val="00CB2A12"/>
    <w:rsid w:val="00CC0E35"/>
    <w:rsid w:val="00CC1A42"/>
    <w:rsid w:val="00CC2265"/>
    <w:rsid w:val="00CC4FB8"/>
    <w:rsid w:val="00CC5988"/>
    <w:rsid w:val="00CC5BBA"/>
    <w:rsid w:val="00CD1FB1"/>
    <w:rsid w:val="00CE00D3"/>
    <w:rsid w:val="00CF3DCB"/>
    <w:rsid w:val="00CF5341"/>
    <w:rsid w:val="00D0208A"/>
    <w:rsid w:val="00D020FF"/>
    <w:rsid w:val="00D11C0A"/>
    <w:rsid w:val="00D11C87"/>
    <w:rsid w:val="00D12693"/>
    <w:rsid w:val="00D15CC4"/>
    <w:rsid w:val="00D176F0"/>
    <w:rsid w:val="00D17EF1"/>
    <w:rsid w:val="00D2047B"/>
    <w:rsid w:val="00D26D20"/>
    <w:rsid w:val="00D27D32"/>
    <w:rsid w:val="00D35EE6"/>
    <w:rsid w:val="00D44B1C"/>
    <w:rsid w:val="00D564AE"/>
    <w:rsid w:val="00D60051"/>
    <w:rsid w:val="00D6198E"/>
    <w:rsid w:val="00D67D83"/>
    <w:rsid w:val="00D742E6"/>
    <w:rsid w:val="00D86F11"/>
    <w:rsid w:val="00D875D7"/>
    <w:rsid w:val="00D90A0B"/>
    <w:rsid w:val="00D9543E"/>
    <w:rsid w:val="00D97AD3"/>
    <w:rsid w:val="00DA1E07"/>
    <w:rsid w:val="00DA22DC"/>
    <w:rsid w:val="00DA340A"/>
    <w:rsid w:val="00DA6650"/>
    <w:rsid w:val="00DA737F"/>
    <w:rsid w:val="00DB0F8B"/>
    <w:rsid w:val="00DB1D43"/>
    <w:rsid w:val="00DB38D2"/>
    <w:rsid w:val="00DB690B"/>
    <w:rsid w:val="00DB777E"/>
    <w:rsid w:val="00DB7B43"/>
    <w:rsid w:val="00DC3401"/>
    <w:rsid w:val="00DC3692"/>
    <w:rsid w:val="00DC5B37"/>
    <w:rsid w:val="00DC5C99"/>
    <w:rsid w:val="00DD0067"/>
    <w:rsid w:val="00DD2378"/>
    <w:rsid w:val="00DD5191"/>
    <w:rsid w:val="00DD5B24"/>
    <w:rsid w:val="00DE65C0"/>
    <w:rsid w:val="00DF0E9C"/>
    <w:rsid w:val="00DF3A6A"/>
    <w:rsid w:val="00DF5DDF"/>
    <w:rsid w:val="00E01812"/>
    <w:rsid w:val="00E07940"/>
    <w:rsid w:val="00E106A5"/>
    <w:rsid w:val="00E140F2"/>
    <w:rsid w:val="00E21B22"/>
    <w:rsid w:val="00E21B8E"/>
    <w:rsid w:val="00E26351"/>
    <w:rsid w:val="00E26635"/>
    <w:rsid w:val="00E330D6"/>
    <w:rsid w:val="00E348EB"/>
    <w:rsid w:val="00E34FC9"/>
    <w:rsid w:val="00E37841"/>
    <w:rsid w:val="00E43399"/>
    <w:rsid w:val="00E46171"/>
    <w:rsid w:val="00E547C8"/>
    <w:rsid w:val="00E600BE"/>
    <w:rsid w:val="00E6481C"/>
    <w:rsid w:val="00E65489"/>
    <w:rsid w:val="00E70C4A"/>
    <w:rsid w:val="00E711C6"/>
    <w:rsid w:val="00E85BEB"/>
    <w:rsid w:val="00E85F03"/>
    <w:rsid w:val="00E85FC0"/>
    <w:rsid w:val="00E954ED"/>
    <w:rsid w:val="00E9683F"/>
    <w:rsid w:val="00E9722B"/>
    <w:rsid w:val="00E97659"/>
    <w:rsid w:val="00E97B44"/>
    <w:rsid w:val="00EA4173"/>
    <w:rsid w:val="00EB03E3"/>
    <w:rsid w:val="00EB1424"/>
    <w:rsid w:val="00EB2A97"/>
    <w:rsid w:val="00EB4EBF"/>
    <w:rsid w:val="00EC3172"/>
    <w:rsid w:val="00EC4718"/>
    <w:rsid w:val="00EC7871"/>
    <w:rsid w:val="00ED164D"/>
    <w:rsid w:val="00ED3309"/>
    <w:rsid w:val="00ED6323"/>
    <w:rsid w:val="00ED6971"/>
    <w:rsid w:val="00ED6981"/>
    <w:rsid w:val="00EE1165"/>
    <w:rsid w:val="00EE2395"/>
    <w:rsid w:val="00EE251F"/>
    <w:rsid w:val="00EE2EC1"/>
    <w:rsid w:val="00EE6E60"/>
    <w:rsid w:val="00EE7470"/>
    <w:rsid w:val="00EF151B"/>
    <w:rsid w:val="00F0051D"/>
    <w:rsid w:val="00F00DEA"/>
    <w:rsid w:val="00F108F6"/>
    <w:rsid w:val="00F10BD5"/>
    <w:rsid w:val="00F135BD"/>
    <w:rsid w:val="00F13A97"/>
    <w:rsid w:val="00F1464D"/>
    <w:rsid w:val="00F174D2"/>
    <w:rsid w:val="00F221C2"/>
    <w:rsid w:val="00F227A6"/>
    <w:rsid w:val="00F265DD"/>
    <w:rsid w:val="00F3628F"/>
    <w:rsid w:val="00F41CD2"/>
    <w:rsid w:val="00F4651A"/>
    <w:rsid w:val="00F46897"/>
    <w:rsid w:val="00F5003D"/>
    <w:rsid w:val="00F52C58"/>
    <w:rsid w:val="00F532A4"/>
    <w:rsid w:val="00F60729"/>
    <w:rsid w:val="00F6250C"/>
    <w:rsid w:val="00F64D34"/>
    <w:rsid w:val="00F67068"/>
    <w:rsid w:val="00F6719D"/>
    <w:rsid w:val="00F7025D"/>
    <w:rsid w:val="00F711C5"/>
    <w:rsid w:val="00F718FE"/>
    <w:rsid w:val="00F721C3"/>
    <w:rsid w:val="00F73A4C"/>
    <w:rsid w:val="00F75795"/>
    <w:rsid w:val="00F76168"/>
    <w:rsid w:val="00F807C7"/>
    <w:rsid w:val="00F83F60"/>
    <w:rsid w:val="00F94E44"/>
    <w:rsid w:val="00FA038A"/>
    <w:rsid w:val="00FA3560"/>
    <w:rsid w:val="00FA4A3A"/>
    <w:rsid w:val="00FA6527"/>
    <w:rsid w:val="00FB0090"/>
    <w:rsid w:val="00FB3DA8"/>
    <w:rsid w:val="00FB7D92"/>
    <w:rsid w:val="00FD029B"/>
    <w:rsid w:val="00FD1B90"/>
    <w:rsid w:val="00FD5F0D"/>
    <w:rsid w:val="00FD6746"/>
    <w:rsid w:val="00FD7A5A"/>
    <w:rsid w:val="00FE072D"/>
    <w:rsid w:val="00FE1AD2"/>
    <w:rsid w:val="00FE26B9"/>
    <w:rsid w:val="00FE513C"/>
    <w:rsid w:val="00FE5E69"/>
    <w:rsid w:val="00FE6E30"/>
    <w:rsid w:val="00FE76A9"/>
    <w:rsid w:val="00FF0E74"/>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uiPriority w:val="99"/>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uiPriority w:val="99"/>
    <w:qFormat/>
    <w:pPr>
      <w:keepNext/>
      <w:numPr>
        <w:ilvl w:val="1"/>
        <w:numId w:val="1"/>
      </w:numPr>
      <w:spacing w:before="240" w:after="60"/>
      <w:outlineLvl w:val="1"/>
    </w:pPr>
    <w:rPr>
      <w:b/>
      <w:bCs/>
      <w:iCs/>
      <w:sz w:val="24"/>
      <w:szCs w:val="28"/>
    </w:rPr>
  </w:style>
  <w:style w:type="paragraph" w:styleId="berschrift3">
    <w:name w:val="heading 3"/>
    <w:basedOn w:val="Standard"/>
    <w:next w:val="Textabsatz"/>
    <w:uiPriority w:val="99"/>
    <w:qFormat/>
    <w:pPr>
      <w:keepNext/>
      <w:numPr>
        <w:ilvl w:val="2"/>
        <w:numId w:val="1"/>
      </w:numPr>
      <w:spacing w:before="240" w:after="60"/>
      <w:outlineLvl w:val="2"/>
    </w:pPr>
    <w:rPr>
      <w:b/>
      <w:bCs/>
      <w:szCs w:val="26"/>
    </w:rPr>
  </w:style>
  <w:style w:type="paragraph" w:styleId="berschrift4">
    <w:name w:val="heading 4"/>
    <w:basedOn w:val="Standard"/>
    <w:next w:val="Textabsatz"/>
    <w:uiPriority w:val="99"/>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uiPriority w:val="99"/>
    <w:qFormat/>
    <w:pPr>
      <w:keepNext/>
      <w:numPr>
        <w:ilvl w:val="4"/>
        <w:numId w:val="1"/>
      </w:numPr>
      <w:spacing w:before="240" w:after="60"/>
      <w:outlineLvl w:val="4"/>
    </w:pPr>
    <w:rPr>
      <w:b/>
      <w:bCs/>
      <w:iCs/>
      <w:szCs w:val="26"/>
    </w:rPr>
  </w:style>
  <w:style w:type="paragraph" w:styleId="berschrift6">
    <w:name w:val="heading 6"/>
    <w:basedOn w:val="Standard"/>
    <w:next w:val="Textabsatz"/>
    <w:uiPriority w:val="99"/>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uiPriority w:val="99"/>
    <w:qFormat/>
    <w:pPr>
      <w:numPr>
        <w:ilvl w:val="6"/>
        <w:numId w:val="1"/>
      </w:numPr>
      <w:spacing w:before="240" w:after="60"/>
      <w:outlineLvl w:val="6"/>
    </w:pPr>
    <w:rPr>
      <w:rFonts w:cs="Times New Roman"/>
      <w:b/>
    </w:rPr>
  </w:style>
  <w:style w:type="paragraph" w:styleId="berschrift8">
    <w:name w:val="heading 8"/>
    <w:basedOn w:val="Standard"/>
    <w:next w:val="Textabsatz"/>
    <w:uiPriority w:val="99"/>
    <w:qFormat/>
    <w:pPr>
      <w:numPr>
        <w:ilvl w:val="7"/>
        <w:numId w:val="1"/>
      </w:numPr>
      <w:spacing w:before="240" w:after="60"/>
      <w:outlineLvl w:val="7"/>
    </w:pPr>
    <w:rPr>
      <w:rFonts w:cs="Times New Roman"/>
      <w:b/>
      <w:iCs/>
    </w:rPr>
  </w:style>
  <w:style w:type="paragraph" w:styleId="berschrift9">
    <w:name w:val="heading 9"/>
    <w:basedOn w:val="Standard"/>
    <w:next w:val="Textabsatz"/>
    <w:uiPriority w:val="99"/>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Hyp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 w:type="paragraph" w:customStyle="1" w:styleId="StAbsatz">
    <w:name w:val="St_Absatz"/>
    <w:rsid w:val="0053785F"/>
    <w:pPr>
      <w:suppressAutoHyphens/>
      <w:overflowPunct w:val="0"/>
      <w:autoSpaceDE w:val="0"/>
      <w:spacing w:after="220" w:line="360" w:lineRule="auto"/>
      <w:ind w:left="709"/>
      <w:jc w:val="both"/>
      <w:textAlignment w:val="baseline"/>
    </w:pPr>
    <w:rPr>
      <w:rFonts w:ascii="Arial" w:eastAsia="Calibri" w:hAnsi="Arial" w:cs="Arial"/>
      <w:sz w:val="22"/>
      <w:szCs w:val="22"/>
      <w:lang w:eastAsia="ar-SA"/>
    </w:rPr>
  </w:style>
  <w:style w:type="paragraph" w:customStyle="1" w:styleId="Beschriftung1">
    <w:name w:val="Beschriftung1"/>
    <w:basedOn w:val="Standard"/>
    <w:next w:val="Standard"/>
    <w:rsid w:val="0053785F"/>
    <w:pPr>
      <w:suppressAutoHyphens/>
      <w:overflowPunct w:val="0"/>
      <w:autoSpaceDE w:val="0"/>
      <w:spacing w:after="120" w:line="240" w:lineRule="auto"/>
      <w:jc w:val="left"/>
      <w:textAlignment w:val="baseline"/>
    </w:pPr>
    <w:rPr>
      <w:rFonts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uiPriority w:val="99"/>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uiPriority w:val="99"/>
    <w:qFormat/>
    <w:pPr>
      <w:keepNext/>
      <w:numPr>
        <w:ilvl w:val="1"/>
        <w:numId w:val="1"/>
      </w:numPr>
      <w:spacing w:before="240" w:after="60"/>
      <w:outlineLvl w:val="1"/>
    </w:pPr>
    <w:rPr>
      <w:b/>
      <w:bCs/>
      <w:iCs/>
      <w:sz w:val="24"/>
      <w:szCs w:val="28"/>
    </w:rPr>
  </w:style>
  <w:style w:type="paragraph" w:styleId="berschrift3">
    <w:name w:val="heading 3"/>
    <w:basedOn w:val="Standard"/>
    <w:next w:val="Textabsatz"/>
    <w:uiPriority w:val="99"/>
    <w:qFormat/>
    <w:pPr>
      <w:keepNext/>
      <w:numPr>
        <w:ilvl w:val="2"/>
        <w:numId w:val="1"/>
      </w:numPr>
      <w:spacing w:before="240" w:after="60"/>
      <w:outlineLvl w:val="2"/>
    </w:pPr>
    <w:rPr>
      <w:b/>
      <w:bCs/>
      <w:szCs w:val="26"/>
    </w:rPr>
  </w:style>
  <w:style w:type="paragraph" w:styleId="berschrift4">
    <w:name w:val="heading 4"/>
    <w:basedOn w:val="Standard"/>
    <w:next w:val="Textabsatz"/>
    <w:uiPriority w:val="99"/>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uiPriority w:val="99"/>
    <w:qFormat/>
    <w:pPr>
      <w:keepNext/>
      <w:numPr>
        <w:ilvl w:val="4"/>
        <w:numId w:val="1"/>
      </w:numPr>
      <w:spacing w:before="240" w:after="60"/>
      <w:outlineLvl w:val="4"/>
    </w:pPr>
    <w:rPr>
      <w:b/>
      <w:bCs/>
      <w:iCs/>
      <w:szCs w:val="26"/>
    </w:rPr>
  </w:style>
  <w:style w:type="paragraph" w:styleId="berschrift6">
    <w:name w:val="heading 6"/>
    <w:basedOn w:val="Standard"/>
    <w:next w:val="Textabsatz"/>
    <w:uiPriority w:val="99"/>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uiPriority w:val="99"/>
    <w:qFormat/>
    <w:pPr>
      <w:numPr>
        <w:ilvl w:val="6"/>
        <w:numId w:val="1"/>
      </w:numPr>
      <w:spacing w:before="240" w:after="60"/>
      <w:outlineLvl w:val="6"/>
    </w:pPr>
    <w:rPr>
      <w:rFonts w:cs="Times New Roman"/>
      <w:b/>
    </w:rPr>
  </w:style>
  <w:style w:type="paragraph" w:styleId="berschrift8">
    <w:name w:val="heading 8"/>
    <w:basedOn w:val="Standard"/>
    <w:next w:val="Textabsatz"/>
    <w:uiPriority w:val="99"/>
    <w:qFormat/>
    <w:pPr>
      <w:numPr>
        <w:ilvl w:val="7"/>
        <w:numId w:val="1"/>
      </w:numPr>
      <w:spacing w:before="240" w:after="60"/>
      <w:outlineLvl w:val="7"/>
    </w:pPr>
    <w:rPr>
      <w:rFonts w:cs="Times New Roman"/>
      <w:b/>
      <w:iCs/>
    </w:rPr>
  </w:style>
  <w:style w:type="paragraph" w:styleId="berschrift9">
    <w:name w:val="heading 9"/>
    <w:basedOn w:val="Standard"/>
    <w:next w:val="Textabsatz"/>
    <w:uiPriority w:val="99"/>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Hyp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 w:type="paragraph" w:customStyle="1" w:styleId="StAbsatz">
    <w:name w:val="St_Absatz"/>
    <w:rsid w:val="0053785F"/>
    <w:pPr>
      <w:suppressAutoHyphens/>
      <w:overflowPunct w:val="0"/>
      <w:autoSpaceDE w:val="0"/>
      <w:spacing w:after="220" w:line="360" w:lineRule="auto"/>
      <w:ind w:left="709"/>
      <w:jc w:val="both"/>
      <w:textAlignment w:val="baseline"/>
    </w:pPr>
    <w:rPr>
      <w:rFonts w:ascii="Arial" w:eastAsia="Calibri" w:hAnsi="Arial" w:cs="Arial"/>
      <w:sz w:val="22"/>
      <w:szCs w:val="22"/>
      <w:lang w:eastAsia="ar-SA"/>
    </w:rPr>
  </w:style>
  <w:style w:type="paragraph" w:customStyle="1" w:styleId="Beschriftung1">
    <w:name w:val="Beschriftung1"/>
    <w:basedOn w:val="Standard"/>
    <w:next w:val="Standard"/>
    <w:rsid w:val="0053785F"/>
    <w:pPr>
      <w:suppressAutoHyphens/>
      <w:overflowPunct w:val="0"/>
      <w:autoSpaceDE w:val="0"/>
      <w:spacing w:after="120" w:line="240" w:lineRule="auto"/>
      <w:jc w:val="left"/>
      <w:textAlignment w:val="baseline"/>
    </w:pPr>
    <w:rPr>
      <w:rFonts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7563-2A31-4053-A43A-B13E210B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10277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11706</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Admin</cp:lastModifiedBy>
  <cp:revision>3</cp:revision>
  <cp:lastPrinted>2017-06-30T12:45:00Z</cp:lastPrinted>
  <dcterms:created xsi:type="dcterms:W3CDTF">2020-04-17T09:48:00Z</dcterms:created>
  <dcterms:modified xsi:type="dcterms:W3CDTF">2020-04-17T09:58:00Z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ies>
</file>